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35FE6">
      <w:pPr>
        <w:rPr>
          <w:rFonts w:hint="eastAsia" w:ascii="黑体" w:hAnsi="黑体" w:eastAsia="黑体"/>
          <w:sz w:val="32"/>
          <w:szCs w:val="32"/>
        </w:rPr>
      </w:pPr>
    </w:p>
    <w:p w14:paraId="4AB2C183">
      <w:pPr>
        <w:jc w:val="center"/>
        <w:rPr>
          <w:rFonts w:hint="eastAsia" w:ascii="方正小标宋_GBK" w:hAnsi="宋体" w:eastAsia="方正小标宋_GBK"/>
          <w:sz w:val="44"/>
          <w:szCs w:val="44"/>
        </w:rPr>
      </w:pPr>
    </w:p>
    <w:p w14:paraId="46B698F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木垒哈萨克自治县纪律检查委员会</w:t>
      </w:r>
    </w:p>
    <w:p w14:paraId="6616A4B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DBA567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094572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5E0E61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FE7AF2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6388C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2625A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245BA3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804A9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5EFA9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635FE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6E11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99EA8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6A03DC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C6EC8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0FF21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6B6059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00171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27E9B4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E16C3C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A60DDB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1259E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B414DF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3599B8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FB17CB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70A42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F9521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733F6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F96EB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BC9F2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D6BAC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6BAD0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7E6A7D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6C0EFD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2BEE38D">
      <w:r>
        <w:rPr>
          <w:rFonts w:hint="eastAsia" w:ascii="仿宋_GB2312" w:hAnsi="仿宋_GB2312" w:eastAsia="仿宋_GB2312" w:cs="仿宋_GB2312"/>
          <w:sz w:val="32"/>
          <w:szCs w:val="32"/>
        </w:rPr>
        <w:fldChar w:fldCharType="end"/>
      </w:r>
    </w:p>
    <w:p w14:paraId="002C7224">
      <w:pPr>
        <w:rPr>
          <w:rFonts w:ascii="仿宋_GB2312" w:eastAsia="仿宋_GB2312"/>
          <w:sz w:val="32"/>
          <w:szCs w:val="32"/>
        </w:rPr>
      </w:pPr>
      <w:r>
        <w:rPr>
          <w:rFonts w:hint="eastAsia" w:ascii="仿宋_GB2312" w:eastAsia="仿宋_GB2312"/>
          <w:sz w:val="32"/>
          <w:szCs w:val="32"/>
        </w:rPr>
        <w:br w:type="page"/>
      </w:r>
    </w:p>
    <w:p w14:paraId="4423815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126555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6A45480">
      <w:pPr>
        <w:ind w:firstLine="640" w:firstLineChars="200"/>
        <w:jc w:val="left"/>
        <w:rPr>
          <w:rFonts w:ascii="仿宋_GB2312" w:eastAsia="仿宋_GB2312"/>
          <w:sz w:val="32"/>
          <w:szCs w:val="32"/>
        </w:rPr>
      </w:pPr>
      <w:r>
        <w:rPr>
          <w:rFonts w:hint="eastAsia" w:ascii="仿宋_GB2312" w:eastAsia="仿宋_GB2312"/>
          <w:sz w:val="32"/>
          <w:szCs w:val="32"/>
        </w:rPr>
        <w:t>（1）维护党的章程和其他党内法规，协助县委整顿党风、加强党风廉政建设，检查党的路线、方针、政策和决议的执行情况。</w:t>
      </w:r>
    </w:p>
    <w:p w14:paraId="794A9C4C">
      <w:pPr>
        <w:ind w:firstLine="640" w:firstLineChars="200"/>
        <w:jc w:val="left"/>
        <w:rPr>
          <w:rFonts w:ascii="仿宋_GB2312" w:eastAsia="仿宋_GB2312"/>
          <w:sz w:val="32"/>
          <w:szCs w:val="32"/>
        </w:rPr>
      </w:pPr>
      <w:r>
        <w:rPr>
          <w:rFonts w:hint="eastAsia" w:ascii="仿宋_GB2312" w:eastAsia="仿宋_GB2312"/>
          <w:sz w:val="32"/>
          <w:szCs w:val="32"/>
        </w:rPr>
        <w:t>（2）贯彻落实州党委、人民政府、纪委、监察局和县委、县人民政府有关行政监察工作的指示、决定，主管全县行政监察工作。</w:t>
      </w:r>
    </w:p>
    <w:p w14:paraId="3E5AFBBB">
      <w:pPr>
        <w:ind w:firstLine="640" w:firstLineChars="200"/>
        <w:jc w:val="left"/>
        <w:rPr>
          <w:rFonts w:ascii="仿宋_GB2312" w:eastAsia="仿宋_GB2312"/>
          <w:sz w:val="32"/>
          <w:szCs w:val="32"/>
        </w:rPr>
      </w:pPr>
      <w:r>
        <w:rPr>
          <w:rFonts w:hint="eastAsia" w:ascii="仿宋_GB2312" w:eastAsia="仿宋_GB2312"/>
          <w:sz w:val="32"/>
          <w:szCs w:val="32"/>
        </w:rPr>
        <w:t>（3）负责组织、协调好领导干部廉洁自律、纠正部门和行业不正之风及源头预防和解决腐败问题的工作，制定建立健全惩治和预防腐败体系实施方案并组织实施，协助县委抓好主要任务的分解和落实工作。</w:t>
      </w:r>
    </w:p>
    <w:p w14:paraId="437812F8">
      <w:pPr>
        <w:ind w:firstLine="640" w:firstLineChars="200"/>
        <w:jc w:val="left"/>
        <w:rPr>
          <w:rFonts w:ascii="仿宋_GB2312" w:eastAsia="仿宋_GB2312"/>
          <w:sz w:val="32"/>
          <w:szCs w:val="32"/>
        </w:rPr>
      </w:pPr>
      <w:r>
        <w:rPr>
          <w:rFonts w:hint="eastAsia" w:ascii="仿宋_GB2312" w:eastAsia="仿宋_GB2312"/>
          <w:sz w:val="32"/>
          <w:szCs w:val="32"/>
        </w:rPr>
        <w:t>（4）负责检查和处理全县各级党的组织和党员违反党的章程、党纪和国家法律、法令的重要或复杂案件，决定或取消对这些案件中党员的处分；受理党员的控告和申诉。保护党员的民主权利和合法权益。</w:t>
      </w:r>
    </w:p>
    <w:p w14:paraId="707C8C5B">
      <w:pPr>
        <w:ind w:firstLine="640" w:firstLineChars="200"/>
        <w:jc w:val="left"/>
        <w:rPr>
          <w:rFonts w:ascii="仿宋_GB2312" w:eastAsia="仿宋_GB2312"/>
          <w:sz w:val="32"/>
          <w:szCs w:val="32"/>
        </w:rPr>
      </w:pPr>
      <w:r>
        <w:rPr>
          <w:rFonts w:hint="eastAsia" w:ascii="仿宋_GB2312" w:eastAsia="仿宋_GB2312"/>
          <w:sz w:val="32"/>
          <w:szCs w:val="32"/>
        </w:rPr>
        <w:t>（5）按照分级管辖的原则，检查国家行政机关在遵守和执行</w:t>
      </w:r>
      <w:r>
        <w:rPr>
          <w:rFonts w:hint="eastAsia" w:ascii="仿宋_GB2312" w:eastAsia="仿宋_GB2312"/>
          <w:sz w:val="32"/>
          <w:szCs w:val="32"/>
          <w:lang w:eastAsia="zh-CN"/>
        </w:rPr>
        <w:t>法律法规</w:t>
      </w:r>
      <w:r>
        <w:rPr>
          <w:rFonts w:hint="eastAsia" w:ascii="仿宋_GB2312" w:eastAsia="仿宋_GB2312"/>
          <w:sz w:val="32"/>
          <w:szCs w:val="32"/>
        </w:rPr>
        <w:t>和人民政府的决定、命令中的问题，受理对国家行政机关、国家公务员和国家行政机关任命的其他人员违反行政纪律行为的检举、控告；调查处理国家行政机关、国家公务员和国家行政机关任命的其他人员违反行政纪律的行为，审理决定或建议对他们作出行政处分；受理国家公务员和国家行政机关任命的其他人员不服主管行政机关给予行政处分决定的申诉；以及法律、行政法规规定的其他由监察机关受理的申诉，保护国家公务员正当的合法权益。按照有关规定对县干部选拔任用工作进行监督检查。</w:t>
      </w:r>
    </w:p>
    <w:p w14:paraId="75217E36">
      <w:pPr>
        <w:ind w:firstLine="640" w:firstLineChars="200"/>
        <w:jc w:val="left"/>
        <w:rPr>
          <w:rFonts w:ascii="仿宋_GB2312" w:eastAsia="仿宋_GB2312"/>
          <w:sz w:val="32"/>
          <w:szCs w:val="32"/>
        </w:rPr>
      </w:pPr>
      <w:r>
        <w:rPr>
          <w:rFonts w:hint="eastAsia" w:ascii="仿宋_GB2312" w:eastAsia="仿宋_GB2312"/>
          <w:sz w:val="32"/>
          <w:szCs w:val="32"/>
        </w:rPr>
        <w:t>（6）负责作出关于维护党纪的决定，制定党风党纪教育规划，配合有关部门做好党的纪检工作方针、政策的宣传和对全县党员进行党风廉政和遵守纪律的教育工作。</w:t>
      </w:r>
    </w:p>
    <w:p w14:paraId="20F3C0E6">
      <w:pPr>
        <w:ind w:firstLine="640" w:firstLineChars="200"/>
        <w:jc w:val="left"/>
        <w:rPr>
          <w:rFonts w:ascii="仿宋_GB2312" w:eastAsia="仿宋_GB2312"/>
          <w:sz w:val="32"/>
          <w:szCs w:val="32"/>
        </w:rPr>
      </w:pPr>
      <w:r>
        <w:rPr>
          <w:rFonts w:hint="eastAsia" w:ascii="仿宋_GB2312" w:eastAsia="仿宋_GB2312"/>
          <w:sz w:val="32"/>
          <w:szCs w:val="32"/>
        </w:rPr>
        <w:t>（7）会同有关部门做好行政监察工作的方针、政策和</w:t>
      </w:r>
      <w:r>
        <w:rPr>
          <w:rFonts w:hint="eastAsia" w:ascii="仿宋_GB2312" w:eastAsia="仿宋_GB2312"/>
          <w:sz w:val="32"/>
          <w:szCs w:val="32"/>
          <w:lang w:eastAsia="zh-CN"/>
        </w:rPr>
        <w:t>法律法规</w:t>
      </w:r>
      <w:r>
        <w:rPr>
          <w:rFonts w:hint="eastAsia" w:ascii="仿宋_GB2312" w:eastAsia="仿宋_GB2312"/>
          <w:sz w:val="32"/>
          <w:szCs w:val="32"/>
        </w:rPr>
        <w:t>的宣传工作，教育国家机关工作人员遵纪守法、为政清廉。</w:t>
      </w:r>
    </w:p>
    <w:p w14:paraId="423C04F5">
      <w:pPr>
        <w:ind w:firstLine="640" w:firstLineChars="200"/>
        <w:jc w:val="left"/>
        <w:rPr>
          <w:rFonts w:ascii="仿宋_GB2312" w:eastAsia="仿宋_GB2312"/>
          <w:sz w:val="32"/>
          <w:szCs w:val="32"/>
        </w:rPr>
      </w:pPr>
      <w:r>
        <w:rPr>
          <w:rFonts w:hint="eastAsia" w:ascii="仿宋_GB2312" w:eastAsia="仿宋_GB2312"/>
          <w:sz w:val="32"/>
          <w:szCs w:val="32"/>
        </w:rPr>
        <w:t>（8）对党的纪律检查工作理论及有关问题进行调查研究；调查监察对象遵纪守法情况，研究政风政纪中出现</w:t>
      </w:r>
      <w:r>
        <w:rPr>
          <w:rFonts w:hint="eastAsia" w:ascii="仿宋_GB2312" w:eastAsia="仿宋_GB2312"/>
          <w:sz w:val="32"/>
          <w:szCs w:val="32"/>
          <w:lang w:eastAsia="zh-CN"/>
        </w:rPr>
        <w:t>的</w:t>
      </w:r>
      <w:r>
        <w:rPr>
          <w:rFonts w:hint="eastAsia" w:ascii="仿宋_GB2312" w:eastAsia="仿宋_GB2312"/>
          <w:sz w:val="32"/>
          <w:szCs w:val="32"/>
        </w:rPr>
        <w:t>普遍性、倾向性问题。负责监督检查县行政效能监察工作；制定行政效能监察工作计划并分解落实工作任务。</w:t>
      </w:r>
    </w:p>
    <w:p w14:paraId="1396F6D6">
      <w:pPr>
        <w:ind w:firstLine="640" w:firstLineChars="200"/>
        <w:jc w:val="left"/>
        <w:rPr>
          <w:rFonts w:ascii="仿宋_GB2312" w:eastAsia="仿宋_GB2312"/>
          <w:sz w:val="32"/>
          <w:szCs w:val="32"/>
        </w:rPr>
      </w:pPr>
      <w:r>
        <w:rPr>
          <w:rFonts w:hint="eastAsia" w:ascii="仿宋_GB2312" w:eastAsia="仿宋_GB2312"/>
          <w:sz w:val="32"/>
          <w:szCs w:val="32"/>
        </w:rPr>
        <w:t>（9）会同县各部门及各乡（镇）党委和政府做好纪检、监察干部的管理，审核乡（镇）纪委、县属单位纪检、监察干部人选；组织和指导全县纪检、监察干部培训工作。</w:t>
      </w:r>
    </w:p>
    <w:p w14:paraId="21881C5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DB378E9">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木垒哈萨克自治县纪律检查委员会2023年度，实有人数</w:t>
      </w:r>
      <w:r>
        <w:rPr>
          <w:rFonts w:hint="eastAsia" w:ascii="仿宋_GB2312" w:eastAsia="仿宋_GB2312"/>
          <w:sz w:val="32"/>
          <w:szCs w:val="32"/>
          <w:lang w:val="zh-CN"/>
        </w:rPr>
        <w:t>134</w:t>
      </w:r>
      <w:r>
        <w:rPr>
          <w:rFonts w:hint="eastAsia" w:ascii="仿宋_GB2312" w:eastAsia="仿宋_GB2312"/>
          <w:sz w:val="32"/>
          <w:szCs w:val="32"/>
        </w:rPr>
        <w:t>人，其中：在职人员</w:t>
      </w:r>
      <w:r>
        <w:rPr>
          <w:rFonts w:hint="eastAsia" w:ascii="仿宋_GB2312" w:eastAsia="仿宋_GB2312"/>
          <w:sz w:val="32"/>
          <w:szCs w:val="32"/>
          <w:lang w:val="zh-CN"/>
        </w:rPr>
        <w:t>115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79F83BD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办公室、组织部、宣传部、党风政风监督室、信访室、案件监督管理室、第一纪检监察室、第二纪检监察室、第三纪检监察室、第四纪检监察室、案件审理室、纪检干部监督室。</w:t>
      </w:r>
    </w:p>
    <w:p w14:paraId="5114D91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7DA1157">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3D80E58">
      <w:pPr>
        <w:ind w:firstLine="640" w:firstLineChars="200"/>
        <w:jc w:val="left"/>
        <w:rPr>
          <w:rFonts w:ascii="仿宋_GB2312" w:eastAsia="仿宋_GB2312"/>
          <w:sz w:val="32"/>
          <w:szCs w:val="32"/>
        </w:rPr>
      </w:pPr>
      <w:r>
        <w:rPr>
          <w:rFonts w:hint="eastAsia" w:ascii="仿宋_GB2312" w:eastAsia="仿宋_GB2312"/>
          <w:sz w:val="32"/>
          <w:szCs w:val="32"/>
        </w:rPr>
        <w:t>2023年度收入总计2,673.52万元，其中：本年收入合计2,673.52万元，使用非财政拨款结余0.00万元，年初结转和结余0.00万元。</w:t>
      </w:r>
    </w:p>
    <w:p w14:paraId="42AB3AB5">
      <w:pPr>
        <w:ind w:firstLine="640" w:firstLineChars="200"/>
        <w:jc w:val="left"/>
        <w:rPr>
          <w:rFonts w:ascii="仿宋_GB2312" w:eastAsia="仿宋_GB2312"/>
          <w:sz w:val="32"/>
          <w:szCs w:val="32"/>
        </w:rPr>
      </w:pPr>
      <w:r>
        <w:rPr>
          <w:rFonts w:hint="eastAsia" w:ascii="仿宋_GB2312" w:eastAsia="仿宋_GB2312"/>
          <w:sz w:val="32"/>
          <w:szCs w:val="32"/>
        </w:rPr>
        <w:t>2023年度支出总计2,673.52万元，其中：本年支出合计2,673.46万元，结余分配0.00万元，年末结转和结余0.06万元。</w:t>
      </w:r>
    </w:p>
    <w:p w14:paraId="3DF80B9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增加288.98万元</w:t>
      </w:r>
      <w:r>
        <w:rPr>
          <w:rFonts w:hint="eastAsia" w:ascii="仿宋_GB2312" w:eastAsia="仿宋_GB2312"/>
          <w:sz w:val="32"/>
          <w:szCs w:val="32"/>
        </w:rPr>
        <w:t>，增长12.12%，主要原因是：本年单位办公楼勘测费较上年增加。</w:t>
      </w:r>
    </w:p>
    <w:p w14:paraId="6FE197E3">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C8CDF38">
      <w:pPr>
        <w:ind w:firstLine="640" w:firstLineChars="200"/>
        <w:jc w:val="left"/>
        <w:rPr>
          <w:rFonts w:ascii="仿宋_GB2312" w:eastAsia="仿宋_GB2312"/>
          <w:sz w:val="32"/>
          <w:szCs w:val="32"/>
        </w:rPr>
      </w:pPr>
      <w:r>
        <w:rPr>
          <w:rFonts w:hint="eastAsia" w:ascii="仿宋_GB2312" w:eastAsia="仿宋_GB2312"/>
          <w:sz w:val="32"/>
          <w:szCs w:val="32"/>
        </w:rPr>
        <w:t>本年收入2,673.52万元，其中：财政拨款收入</w:t>
      </w:r>
      <w:r>
        <w:rPr>
          <w:rFonts w:hint="eastAsia" w:ascii="仿宋_GB2312" w:eastAsia="仿宋_GB2312"/>
          <w:sz w:val="32"/>
          <w:szCs w:val="32"/>
          <w:lang w:val="zh-CN"/>
        </w:rPr>
        <w:t>2,673.46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35C35A6">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382CDAB">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本年支出2,673.46万元，其中：基本支出2,660.92万元，占99.53%；项目支出12.54万元，占0.47%；上缴上级支出0.00万元，占0.00%；经营支出0.00万元，占0.00%；对附属单位补助支出0.00万元，占0.00%。</w:t>
      </w:r>
    </w:p>
    <w:p w14:paraId="4C18BA9D">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BBBFA4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2,673.46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2,673.46</w:t>
      </w:r>
      <w:r>
        <w:rPr>
          <w:rFonts w:hint="eastAsia" w:ascii="仿宋_GB2312" w:eastAsia="仿宋_GB2312"/>
          <w:sz w:val="32"/>
          <w:szCs w:val="32"/>
        </w:rPr>
        <w:t>万元。财政拨款支出总计</w:t>
      </w:r>
      <w:r>
        <w:rPr>
          <w:rFonts w:hint="eastAsia" w:ascii="仿宋_GB2312" w:eastAsia="仿宋_GB2312"/>
          <w:sz w:val="32"/>
          <w:szCs w:val="32"/>
          <w:lang w:val="zh-CN"/>
        </w:rPr>
        <w:t>2,673.46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2,673.46</w:t>
      </w:r>
      <w:r>
        <w:rPr>
          <w:rFonts w:hint="eastAsia" w:ascii="仿宋_GB2312" w:eastAsia="仿宋_GB2312"/>
          <w:sz w:val="32"/>
          <w:szCs w:val="32"/>
        </w:rPr>
        <w:t>万元。</w:t>
      </w:r>
    </w:p>
    <w:p w14:paraId="257DE03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增加288.92万元</w:t>
      </w:r>
      <w:r>
        <w:rPr>
          <w:rFonts w:hint="eastAsia" w:ascii="仿宋_GB2312" w:eastAsia="仿宋_GB2312"/>
          <w:sz w:val="32"/>
          <w:szCs w:val="32"/>
        </w:rPr>
        <w:t>，增长12.12%,主要原因是：本年单位办公楼勘测费较上年增加。与年初预算相比，年初预算数</w:t>
      </w:r>
      <w:r>
        <w:rPr>
          <w:rFonts w:hint="eastAsia" w:ascii="仿宋_GB2312" w:eastAsia="仿宋_GB2312"/>
          <w:sz w:val="32"/>
          <w:szCs w:val="32"/>
          <w:lang w:val="zh-CN"/>
        </w:rPr>
        <w:t>2,766.10</w:t>
      </w:r>
      <w:r>
        <w:rPr>
          <w:rFonts w:hint="eastAsia" w:ascii="仿宋_GB2312" w:eastAsia="仿宋_GB2312"/>
          <w:sz w:val="32"/>
          <w:szCs w:val="32"/>
        </w:rPr>
        <w:t>万元，决算数</w:t>
      </w:r>
      <w:r>
        <w:rPr>
          <w:rFonts w:hint="eastAsia" w:ascii="仿宋_GB2312" w:eastAsia="仿宋_GB2312"/>
          <w:sz w:val="32"/>
          <w:szCs w:val="32"/>
          <w:lang w:val="zh-CN"/>
        </w:rPr>
        <w:t>2,673.46</w:t>
      </w:r>
      <w:r>
        <w:rPr>
          <w:rFonts w:hint="eastAsia" w:ascii="仿宋_GB2312" w:eastAsia="仿宋_GB2312"/>
          <w:sz w:val="32"/>
          <w:szCs w:val="32"/>
        </w:rPr>
        <w:t>万元，预决算差异率-3.35%，主要原因是：</w:t>
      </w:r>
      <w:r>
        <w:rPr>
          <w:rFonts w:hint="eastAsia" w:ascii="仿宋_GB2312" w:eastAsia="仿宋_GB2312"/>
          <w:sz w:val="32"/>
          <w:szCs w:val="32"/>
          <w:lang w:val="en-US" w:eastAsia="zh-CN"/>
        </w:rPr>
        <w:t>较预算减少</w:t>
      </w:r>
      <w:r>
        <w:rPr>
          <w:rFonts w:hint="eastAsia" w:eastAsia="仿宋_GB2312"/>
          <w:sz w:val="32"/>
          <w:szCs w:val="32"/>
          <w:lang w:val="zh-CN"/>
        </w:rPr>
        <w:t>各乡镇纪检监察信息员工作</w:t>
      </w:r>
      <w:r>
        <w:rPr>
          <w:rFonts w:hint="eastAsia" w:eastAsia="仿宋_GB2312"/>
          <w:sz w:val="32"/>
          <w:szCs w:val="32"/>
          <w:lang w:val="en-US" w:eastAsia="zh-CN"/>
        </w:rPr>
        <w:t>项目</w:t>
      </w:r>
      <w:r>
        <w:rPr>
          <w:rFonts w:hint="eastAsia" w:eastAsia="仿宋_GB2312"/>
          <w:sz w:val="32"/>
          <w:szCs w:val="32"/>
          <w:lang w:val="zh-CN"/>
        </w:rPr>
        <w:t>经费</w:t>
      </w:r>
      <w:r>
        <w:rPr>
          <w:rFonts w:hint="eastAsia" w:ascii="仿宋_GB2312" w:eastAsia="仿宋_GB2312"/>
          <w:sz w:val="32"/>
          <w:szCs w:val="32"/>
        </w:rPr>
        <w:t>。</w:t>
      </w:r>
    </w:p>
    <w:p w14:paraId="691091FF">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BBDDDE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DF76AF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2023年度一般公共预算财政拨款支出2,673.46万元，占本年支出合计的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增加288.92万元</w:t>
      </w:r>
      <w:r>
        <w:rPr>
          <w:rFonts w:hint="eastAsia" w:ascii="仿宋_GB2312" w:eastAsia="仿宋_GB2312"/>
          <w:sz w:val="32"/>
          <w:szCs w:val="32"/>
        </w:rPr>
        <w:t>，增长12.12%,主要原因是：本年单位办公楼勘测费较上年增加。与年初预算相比，年初预算数</w:t>
      </w:r>
      <w:r>
        <w:rPr>
          <w:rFonts w:hint="eastAsia" w:ascii="仿宋_GB2312" w:eastAsia="仿宋_GB2312"/>
          <w:sz w:val="32"/>
          <w:szCs w:val="32"/>
          <w:lang w:val="zh-CN"/>
        </w:rPr>
        <w:t>2,766.10</w:t>
      </w:r>
      <w:r>
        <w:rPr>
          <w:rFonts w:hint="eastAsia" w:ascii="仿宋_GB2312" w:eastAsia="仿宋_GB2312"/>
          <w:sz w:val="32"/>
          <w:szCs w:val="32"/>
        </w:rPr>
        <w:t>万元，决算数</w:t>
      </w:r>
      <w:r>
        <w:rPr>
          <w:rFonts w:hint="eastAsia" w:ascii="仿宋_GB2312" w:eastAsia="仿宋_GB2312"/>
          <w:sz w:val="32"/>
          <w:szCs w:val="32"/>
          <w:lang w:val="zh-CN"/>
        </w:rPr>
        <w:t>2,673.46</w:t>
      </w:r>
      <w:r>
        <w:rPr>
          <w:rFonts w:hint="eastAsia" w:ascii="仿宋_GB2312" w:eastAsia="仿宋_GB2312"/>
          <w:sz w:val="32"/>
          <w:szCs w:val="32"/>
        </w:rPr>
        <w:t>万元，预决算差异率</w:t>
      </w:r>
      <w:r>
        <w:rPr>
          <w:rFonts w:hint="eastAsia" w:ascii="仿宋_GB2312" w:eastAsia="仿宋_GB2312"/>
          <w:sz w:val="32"/>
          <w:szCs w:val="32"/>
          <w:lang w:val="zh-CN"/>
        </w:rPr>
        <w:t>-3.35%</w:t>
      </w:r>
      <w:r>
        <w:rPr>
          <w:rFonts w:hint="eastAsia" w:ascii="仿宋_GB2312" w:eastAsia="仿宋_GB2312"/>
          <w:sz w:val="32"/>
          <w:szCs w:val="32"/>
        </w:rPr>
        <w:t>，主要原因是：</w:t>
      </w:r>
      <w:r>
        <w:rPr>
          <w:rFonts w:hint="eastAsia" w:ascii="仿宋_GB2312" w:eastAsia="仿宋_GB2312"/>
          <w:sz w:val="32"/>
          <w:szCs w:val="32"/>
          <w:lang w:val="en-US" w:eastAsia="zh-CN"/>
        </w:rPr>
        <w:t>较预算减少</w:t>
      </w:r>
      <w:r>
        <w:rPr>
          <w:rFonts w:hint="eastAsia" w:eastAsia="仿宋_GB2312"/>
          <w:sz w:val="32"/>
          <w:szCs w:val="32"/>
          <w:lang w:val="zh-CN"/>
        </w:rPr>
        <w:t>各乡镇纪检监察信息员工作</w:t>
      </w:r>
      <w:r>
        <w:rPr>
          <w:rFonts w:hint="eastAsia" w:eastAsia="仿宋_GB2312"/>
          <w:sz w:val="32"/>
          <w:szCs w:val="32"/>
          <w:lang w:val="en-US" w:eastAsia="zh-CN"/>
        </w:rPr>
        <w:t>项目</w:t>
      </w:r>
      <w:r>
        <w:rPr>
          <w:rFonts w:hint="eastAsia" w:eastAsia="仿宋_GB2312"/>
          <w:sz w:val="32"/>
          <w:szCs w:val="32"/>
          <w:lang w:val="zh-CN"/>
        </w:rPr>
        <w:t>经费</w:t>
      </w:r>
      <w:r>
        <w:rPr>
          <w:rFonts w:hint="eastAsia" w:ascii="仿宋_GB2312" w:eastAsia="仿宋_GB2312"/>
          <w:sz w:val="32"/>
          <w:szCs w:val="32"/>
        </w:rPr>
        <w:t>。</w:t>
      </w:r>
    </w:p>
    <w:p w14:paraId="17D07E5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48AE6E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2,177.05</w:t>
      </w:r>
      <w:r>
        <w:rPr>
          <w:rFonts w:ascii="仿宋_GB2312" w:eastAsia="仿宋_GB2312"/>
          <w:kern w:val="2"/>
          <w:sz w:val="32"/>
          <w:szCs w:val="32"/>
          <w:lang w:val="zh-CN"/>
        </w:rPr>
        <w:t>万元，占</w:t>
      </w:r>
      <w:r>
        <w:rPr>
          <w:rFonts w:hint="eastAsia" w:ascii="仿宋_GB2312" w:eastAsia="仿宋_GB2312"/>
          <w:kern w:val="2"/>
          <w:sz w:val="32"/>
          <w:szCs w:val="32"/>
          <w:lang w:val="zh-CN"/>
        </w:rPr>
        <w:t>81.43</w:t>
      </w:r>
      <w:r>
        <w:rPr>
          <w:rFonts w:ascii="仿宋_GB2312" w:eastAsia="仿宋_GB2312"/>
          <w:kern w:val="2"/>
          <w:sz w:val="32"/>
          <w:szCs w:val="32"/>
          <w:lang w:val="zh-CN"/>
        </w:rPr>
        <w:t>%；</w:t>
      </w:r>
    </w:p>
    <w:p w14:paraId="4FCA1BD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315.65</w:t>
      </w:r>
      <w:r>
        <w:rPr>
          <w:rFonts w:ascii="仿宋_GB2312" w:eastAsia="仿宋_GB2312"/>
          <w:kern w:val="2"/>
          <w:sz w:val="32"/>
          <w:szCs w:val="32"/>
          <w:lang w:val="zh-CN"/>
        </w:rPr>
        <w:t>万元，占</w:t>
      </w:r>
      <w:r>
        <w:rPr>
          <w:rFonts w:hint="eastAsia" w:ascii="仿宋_GB2312" w:eastAsia="仿宋_GB2312"/>
          <w:kern w:val="2"/>
          <w:sz w:val="32"/>
          <w:szCs w:val="32"/>
          <w:lang w:val="zh-CN"/>
        </w:rPr>
        <w:t>11.81</w:t>
      </w:r>
      <w:r>
        <w:rPr>
          <w:rFonts w:ascii="仿宋_GB2312" w:eastAsia="仿宋_GB2312"/>
          <w:kern w:val="2"/>
          <w:sz w:val="32"/>
          <w:szCs w:val="32"/>
          <w:lang w:val="zh-CN"/>
        </w:rPr>
        <w:t>%；</w:t>
      </w:r>
    </w:p>
    <w:p w14:paraId="1799F53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150.07</w:t>
      </w:r>
      <w:r>
        <w:rPr>
          <w:rFonts w:ascii="仿宋_GB2312" w:eastAsia="仿宋_GB2312"/>
          <w:kern w:val="2"/>
          <w:sz w:val="32"/>
          <w:szCs w:val="32"/>
          <w:lang w:val="zh-CN"/>
        </w:rPr>
        <w:t>万元，占</w:t>
      </w:r>
      <w:r>
        <w:rPr>
          <w:rFonts w:hint="eastAsia" w:ascii="仿宋_GB2312" w:eastAsia="仿宋_GB2312"/>
          <w:kern w:val="2"/>
          <w:sz w:val="32"/>
          <w:szCs w:val="32"/>
          <w:lang w:val="zh-CN"/>
        </w:rPr>
        <w:t>5.61</w:t>
      </w:r>
      <w:r>
        <w:rPr>
          <w:rFonts w:ascii="仿宋_GB2312" w:eastAsia="仿宋_GB2312"/>
          <w:kern w:val="2"/>
          <w:sz w:val="32"/>
          <w:szCs w:val="32"/>
          <w:lang w:val="zh-CN"/>
        </w:rPr>
        <w:t>%；</w:t>
      </w:r>
    </w:p>
    <w:p w14:paraId="08614C7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30.69</w:t>
      </w:r>
      <w:r>
        <w:rPr>
          <w:rFonts w:ascii="仿宋_GB2312" w:eastAsia="仿宋_GB2312"/>
          <w:kern w:val="2"/>
          <w:sz w:val="32"/>
          <w:szCs w:val="32"/>
          <w:lang w:val="zh-CN"/>
        </w:rPr>
        <w:t>万元，占</w:t>
      </w:r>
      <w:r>
        <w:rPr>
          <w:rFonts w:hint="eastAsia" w:ascii="仿宋_GB2312" w:eastAsia="仿宋_GB2312"/>
          <w:kern w:val="2"/>
          <w:sz w:val="32"/>
          <w:szCs w:val="32"/>
          <w:lang w:val="zh-CN"/>
        </w:rPr>
        <w:t>1.15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7BE88D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395126D">
      <w:pPr>
        <w:ind w:firstLine="640" w:firstLineChars="200"/>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1.住房保障支出（类）住房改革支出（款）住房公积金（项）:支出决算数为150.07万元，比上年决算增加3.8</w:t>
      </w:r>
      <w:r>
        <w:rPr>
          <w:rFonts w:hint="eastAsia" w:ascii="仿宋_GB2312" w:eastAsia="仿宋_GB2312"/>
          <w:sz w:val="32"/>
          <w:szCs w:val="32"/>
          <w:lang w:val="en-US" w:eastAsia="zh-CN"/>
        </w:rPr>
        <w:t>4</w:t>
      </w:r>
      <w:r>
        <w:rPr>
          <w:rFonts w:hint="eastAsia" w:ascii="仿宋_GB2312" w:eastAsia="仿宋_GB2312"/>
          <w:sz w:val="32"/>
          <w:szCs w:val="32"/>
        </w:rPr>
        <w:t>万元，增长2.63%，主要原因是：单位</w:t>
      </w:r>
      <w:r>
        <w:rPr>
          <w:rFonts w:hint="eastAsia" w:ascii="仿宋_GB2312" w:eastAsia="仿宋_GB2312"/>
          <w:sz w:val="32"/>
          <w:szCs w:val="32"/>
          <w:lang w:val="zh-CN"/>
        </w:rPr>
        <w:t>公积金基数增加，人员</w:t>
      </w:r>
      <w:r>
        <w:rPr>
          <w:rFonts w:hint="eastAsia" w:ascii="仿宋_GB2312" w:eastAsia="仿宋_GB2312"/>
          <w:sz w:val="32"/>
          <w:szCs w:val="32"/>
        </w:rPr>
        <w:t>住房公积金缴费增加</w:t>
      </w:r>
      <w:r>
        <w:rPr>
          <w:rFonts w:hint="eastAsia" w:ascii="仿宋_GB2312" w:eastAsia="仿宋_GB2312"/>
          <w:sz w:val="32"/>
          <w:szCs w:val="32"/>
          <w:lang w:val="zh-CN"/>
        </w:rPr>
        <w:t>。</w:t>
      </w:r>
    </w:p>
    <w:p w14:paraId="08F0A369">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2.社会保障和就业支出（类）抚恤（款）死亡抚恤（项）:支出决算数为72.37万元，比上年决算增加45.20万元，增长166.3</w:t>
      </w:r>
      <w:r>
        <w:rPr>
          <w:rFonts w:hint="eastAsia" w:ascii="仿宋_GB2312" w:eastAsia="仿宋_GB2312"/>
          <w:sz w:val="32"/>
          <w:szCs w:val="32"/>
          <w:lang w:val="en-US" w:eastAsia="zh-CN"/>
        </w:rPr>
        <w:t>6</w:t>
      </w:r>
      <w:r>
        <w:rPr>
          <w:rFonts w:hint="eastAsia" w:ascii="仿宋_GB2312" w:eastAsia="仿宋_GB2312"/>
          <w:sz w:val="32"/>
          <w:szCs w:val="32"/>
        </w:rPr>
        <w:t>%，主要原因是：2023年有两名职工去世，人员丧葬抚恤金增加</w:t>
      </w:r>
      <w:r>
        <w:rPr>
          <w:rFonts w:hint="eastAsia" w:ascii="仿宋_GB2312" w:eastAsia="仿宋_GB2312"/>
          <w:sz w:val="32"/>
          <w:szCs w:val="32"/>
          <w:lang w:val="zh-CN"/>
        </w:rPr>
        <w:t>。</w:t>
      </w:r>
    </w:p>
    <w:p w14:paraId="12B9B562">
      <w:pPr>
        <w:ind w:firstLine="640" w:firstLineChars="200"/>
        <w:rPr>
          <w:rFonts w:ascii="仿宋_GB2312" w:eastAsia="仿宋_GB2312"/>
          <w:sz w:val="32"/>
          <w:szCs w:val="32"/>
          <w:lang w:val="zh-CN"/>
        </w:rPr>
      </w:pPr>
      <w:r>
        <w:rPr>
          <w:rFonts w:hint="eastAsia" w:ascii="仿宋_GB2312" w:eastAsia="仿宋_GB2312"/>
          <w:sz w:val="32"/>
          <w:szCs w:val="32"/>
        </w:rPr>
        <w:t>3.一般公共服务支出（类）纪检监察事务（款）其他纪检监察事务支出（项）:支出决算数为48.62万元，比上年决算减少11.50万元，下降19.13%，主要原因是：本年单位</w:t>
      </w:r>
      <w:r>
        <w:rPr>
          <w:rFonts w:hint="eastAsia" w:eastAsia="仿宋_GB2312"/>
          <w:sz w:val="32"/>
          <w:szCs w:val="32"/>
          <w:lang w:val="zh-CN"/>
        </w:rPr>
        <w:t>各乡镇纪检监察信息员</w:t>
      </w:r>
      <w:r>
        <w:rPr>
          <w:rFonts w:hint="eastAsia" w:eastAsia="仿宋_GB2312"/>
          <w:sz w:val="32"/>
          <w:szCs w:val="32"/>
          <w:lang w:val="en-US" w:eastAsia="zh-CN"/>
        </w:rPr>
        <w:t>工作项目经费</w:t>
      </w:r>
      <w:r>
        <w:rPr>
          <w:rFonts w:hint="eastAsia" w:eastAsia="仿宋_GB2312"/>
          <w:sz w:val="32"/>
          <w:szCs w:val="32"/>
          <w:lang w:val="zh-CN"/>
        </w:rPr>
        <w:t>较上年减少</w:t>
      </w:r>
      <w:r>
        <w:rPr>
          <w:rFonts w:hint="eastAsia" w:ascii="仿宋_GB2312" w:eastAsia="仿宋_GB2312"/>
          <w:sz w:val="32"/>
          <w:szCs w:val="32"/>
          <w:lang w:val="zh-CN"/>
        </w:rPr>
        <w:t>。</w:t>
      </w:r>
    </w:p>
    <w:p w14:paraId="797039F4">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4.社会保障和就业支出（类）行政事业单位养老支出（款）行政单位离退休（项）:支出决算数为4.74万元，比上年决算增加2.5</w:t>
      </w:r>
      <w:r>
        <w:rPr>
          <w:rFonts w:hint="eastAsia" w:ascii="仿宋_GB2312" w:eastAsia="仿宋_GB2312"/>
          <w:sz w:val="32"/>
          <w:szCs w:val="32"/>
          <w:lang w:val="en-US" w:eastAsia="zh-CN"/>
        </w:rPr>
        <w:t>5</w:t>
      </w:r>
      <w:r>
        <w:rPr>
          <w:rFonts w:hint="eastAsia" w:ascii="仿宋_GB2312" w:eastAsia="仿宋_GB2312"/>
          <w:sz w:val="32"/>
          <w:szCs w:val="32"/>
        </w:rPr>
        <w:t>万元，增长11</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44</w:t>
      </w:r>
      <w:r>
        <w:rPr>
          <w:rFonts w:hint="eastAsia" w:ascii="仿宋_GB2312" w:eastAsia="仿宋_GB2312"/>
          <w:sz w:val="32"/>
          <w:szCs w:val="32"/>
        </w:rPr>
        <w:t>%，主要原因是：单位新增4名退休人员，单位退休人员取暖费、独生子女奖励金较上年增加</w:t>
      </w:r>
      <w:r>
        <w:rPr>
          <w:rFonts w:hint="eastAsia" w:ascii="仿宋_GB2312" w:eastAsia="仿宋_GB2312"/>
          <w:sz w:val="32"/>
          <w:szCs w:val="32"/>
          <w:lang w:val="zh-CN"/>
        </w:rPr>
        <w:t>。</w:t>
      </w:r>
    </w:p>
    <w:p w14:paraId="616C3F2C">
      <w:pPr>
        <w:ind w:firstLine="640" w:firstLineChars="200"/>
        <w:rPr>
          <w:rFonts w:ascii="仿宋_GB2312" w:eastAsia="仿宋_GB2312"/>
          <w:sz w:val="32"/>
          <w:szCs w:val="32"/>
          <w:lang w:val="zh-CN"/>
        </w:rPr>
      </w:pPr>
      <w:r>
        <w:rPr>
          <w:rFonts w:hint="eastAsia" w:ascii="仿宋_GB2312" w:eastAsia="仿宋_GB2312"/>
          <w:sz w:val="32"/>
          <w:szCs w:val="32"/>
        </w:rPr>
        <w:t>5.一般公共服务支出（类）纪检监察事务（款）行政运行（项）:支出决算数为2,128.43万元，比上年决算增加198.70万元，增长10.30%，主要原因是：薪资调增，人员工资、津补贴等人员经费增加</w:t>
      </w:r>
      <w:r>
        <w:rPr>
          <w:rFonts w:hint="eastAsia" w:ascii="仿宋_GB2312" w:eastAsia="仿宋_GB2312"/>
          <w:sz w:val="32"/>
          <w:szCs w:val="32"/>
          <w:lang w:val="zh-CN"/>
        </w:rPr>
        <w:t>。</w:t>
      </w:r>
    </w:p>
    <w:p w14:paraId="10C06CCE">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6.社会保障和就业支出（类）行政事业单位养老支出（款）机关事业单位职业年金缴费支出（项）:支出决算数为43.33万元，比上年决算增加30.23万元，增长230.</w:t>
      </w:r>
      <w:r>
        <w:rPr>
          <w:rFonts w:hint="eastAsia" w:ascii="仿宋_GB2312" w:eastAsia="仿宋_GB2312"/>
          <w:sz w:val="32"/>
          <w:szCs w:val="32"/>
          <w:lang w:val="en-US" w:eastAsia="zh-CN"/>
        </w:rPr>
        <w:t>76</w:t>
      </w:r>
      <w:r>
        <w:rPr>
          <w:rFonts w:hint="eastAsia" w:ascii="仿宋_GB2312" w:eastAsia="仿宋_GB2312"/>
          <w:sz w:val="32"/>
          <w:szCs w:val="32"/>
        </w:rPr>
        <w:t>%，主要原因是：单位新增4名退休人员，退休人员职业年金缴费增加</w:t>
      </w:r>
      <w:r>
        <w:rPr>
          <w:rFonts w:hint="eastAsia" w:ascii="仿宋_GB2312" w:eastAsia="仿宋_GB2312"/>
          <w:sz w:val="32"/>
          <w:szCs w:val="32"/>
          <w:lang w:val="zh-CN"/>
        </w:rPr>
        <w:t>。</w:t>
      </w:r>
    </w:p>
    <w:p w14:paraId="411ACAF1">
      <w:pPr>
        <w:ind w:firstLine="640" w:firstLineChars="200"/>
        <w:rPr>
          <w:rFonts w:ascii="仿宋_GB2312" w:eastAsia="仿宋_GB2312"/>
          <w:sz w:val="32"/>
          <w:szCs w:val="32"/>
          <w:lang w:val="zh-CN"/>
        </w:rPr>
      </w:pPr>
      <w:r>
        <w:rPr>
          <w:rFonts w:hint="eastAsia" w:ascii="仿宋_GB2312" w:eastAsia="仿宋_GB2312"/>
          <w:sz w:val="32"/>
          <w:szCs w:val="32"/>
        </w:rPr>
        <w:t>7.其他支出（类）其他支出（款）其他支出（项）:支出决算数为30.69万元，比上年决算增加12.57万元，增长69.3</w:t>
      </w:r>
      <w:r>
        <w:rPr>
          <w:rFonts w:hint="eastAsia" w:ascii="仿宋_GB2312" w:eastAsia="仿宋_GB2312"/>
          <w:sz w:val="32"/>
          <w:szCs w:val="32"/>
          <w:lang w:val="en-US" w:eastAsia="zh-CN"/>
        </w:rPr>
        <w:t>7</w:t>
      </w:r>
      <w:r>
        <w:rPr>
          <w:rFonts w:hint="eastAsia" w:ascii="仿宋_GB2312" w:eastAsia="仿宋_GB2312"/>
          <w:sz w:val="32"/>
          <w:szCs w:val="32"/>
        </w:rPr>
        <w:t>%，主要原因是：本年单位增加为民办实事业务</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zh-CN"/>
        </w:rPr>
        <w:t>。</w:t>
      </w:r>
    </w:p>
    <w:p w14:paraId="3BE84A8E">
      <w:pPr>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8.社会保障和就业支出（类）行政事业单位养老支出（款）机关事业单位基本养老保险缴费支出（项）:支出决算数为195.21万元，比上年决算增加7.34万元，增长3.91%，主要原因是：</w:t>
      </w:r>
      <w:r>
        <w:rPr>
          <w:rFonts w:hint="eastAsia" w:eastAsia="仿宋_GB2312"/>
          <w:sz w:val="32"/>
          <w:szCs w:val="32"/>
        </w:rPr>
        <w:t>本年单位社保缴费基数调增，人员养老保险缴费增加</w:t>
      </w:r>
      <w:r>
        <w:rPr>
          <w:rFonts w:hint="eastAsia" w:ascii="仿宋_GB2312" w:eastAsia="仿宋_GB2312"/>
          <w:sz w:val="32"/>
          <w:szCs w:val="32"/>
          <w:lang w:val="zh-CN"/>
        </w:rPr>
        <w:t>。</w:t>
      </w:r>
    </w:p>
    <w:p w14:paraId="5980FC9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467AA0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2,660.92万元，其中：人员经费2,100.79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7F31268">
      <w:pPr>
        <w:ind w:firstLine="640" w:firstLineChars="200"/>
        <w:jc w:val="left"/>
        <w:rPr>
          <w:rFonts w:ascii="仿宋_GB2312" w:eastAsia="仿宋_GB2312"/>
          <w:sz w:val="32"/>
          <w:szCs w:val="32"/>
        </w:rPr>
      </w:pPr>
      <w:r>
        <w:rPr>
          <w:rFonts w:hint="eastAsia" w:ascii="仿宋_GB2312" w:eastAsia="仿宋_GB2312"/>
          <w:sz w:val="32"/>
          <w:szCs w:val="32"/>
        </w:rPr>
        <w:t>公用经费560.13万元，包括：办公费、印刷费、水费、电费、邮电费、取暖费、物业管理费、差旅费、维修（护）费、租赁费、会议费、公务接待费、劳务费、工会经费、公务用车运行维护费、其他交通费用、其他商品和服务支出。</w:t>
      </w:r>
    </w:p>
    <w:p w14:paraId="2315F24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BFC671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“三公”经费支出39.88万元，</w:t>
      </w:r>
      <w:r>
        <w:rPr>
          <w:rFonts w:hint="eastAsia" w:ascii="仿宋_GB2312" w:eastAsia="仿宋_GB2312"/>
          <w:sz w:val="32"/>
          <w:szCs w:val="32"/>
        </w:rPr>
        <w:t>比上年</w:t>
      </w:r>
      <w:r>
        <w:rPr>
          <w:rFonts w:hint="eastAsia" w:ascii="仿宋_GB2312" w:eastAsia="仿宋_GB2312"/>
          <w:sz w:val="32"/>
          <w:szCs w:val="32"/>
          <w:lang w:val="zh-CN"/>
        </w:rPr>
        <w:t>减少0.12万元，</w:t>
      </w:r>
      <w:r>
        <w:rPr>
          <w:rFonts w:hint="eastAsia" w:ascii="仿宋_GB2312" w:eastAsia="仿宋_GB2312"/>
          <w:sz w:val="32"/>
          <w:szCs w:val="32"/>
        </w:rPr>
        <w:t>下降0.30%,</w:t>
      </w:r>
      <w:r>
        <w:rPr>
          <w:rFonts w:hint="eastAsia" w:ascii="仿宋_GB2312" w:eastAsia="仿宋_GB2312"/>
          <w:sz w:val="32"/>
          <w:szCs w:val="32"/>
          <w:lang w:val="zh-CN"/>
        </w:rPr>
        <w:t>主要原因是：车辆减少出行，车辆维修费、燃油费等较上年减少。其中：因公出国（境）费支出0.00万元，占0.00%，比上年增加0.00万元，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主要原因是：本年无此项经费；公务用车购置及运行维护费支出34.88万元，占87.46%，比上年减少0.12万元，</w:t>
      </w:r>
      <w:r>
        <w:rPr>
          <w:rFonts w:hint="eastAsia" w:ascii="仿宋_GB2312" w:eastAsia="仿宋_GB2312"/>
          <w:sz w:val="32"/>
          <w:szCs w:val="32"/>
        </w:rPr>
        <w:t>下降0.3</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zh-CN"/>
        </w:rPr>
        <w:t>主要原因是：车辆减少出行，车辆维修费、燃油费等较上年减少；公务接待费支出5.00万元，占12.54%，比上年增加0.00万元，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w:t>
      </w:r>
    </w:p>
    <w:p w14:paraId="3D0C646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F759FD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7E81A05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公务用车购置及运行维护费34.88万元，其中：公务用车购置费0.00万元，公务用车运行维护费34.88万元。公务用车运行维护费开支内容包括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原因是：差异车辆为借用其他单位车辆，车辆费用由本单位财政拨款公务用车运行维护费支付。</w:t>
      </w:r>
    </w:p>
    <w:p w14:paraId="4DF134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公务接待费5.00万元，开支内容包括餐费、住宿费</w:t>
      </w:r>
      <w:r>
        <w:rPr>
          <w:rFonts w:hint="eastAsia" w:ascii="仿宋_GB2312" w:eastAsia="仿宋_GB2312"/>
          <w:sz w:val="32"/>
          <w:szCs w:val="32"/>
          <w:lang w:val="en-US" w:eastAsia="zh-CN"/>
        </w:rPr>
        <w:t>等</w:t>
      </w:r>
      <w:r>
        <w:rPr>
          <w:rFonts w:hint="eastAsia" w:ascii="仿宋_GB2312" w:eastAsia="仿宋_GB2312"/>
          <w:sz w:val="32"/>
          <w:szCs w:val="32"/>
          <w:lang w:val="zh-CN"/>
        </w:rPr>
        <w:t>。单位全年安排的国内公务接待48批次，1</w:t>
      </w:r>
      <w:r>
        <w:rPr>
          <w:rFonts w:ascii="仿宋_GB2312" w:eastAsia="仿宋_GB2312"/>
          <w:sz w:val="32"/>
          <w:szCs w:val="32"/>
          <w:lang w:val="zh-CN"/>
        </w:rPr>
        <w:t>,</w:t>
      </w:r>
      <w:r>
        <w:rPr>
          <w:rFonts w:hint="eastAsia" w:ascii="仿宋_GB2312" w:eastAsia="仿宋_GB2312"/>
          <w:sz w:val="32"/>
          <w:szCs w:val="32"/>
          <w:lang w:val="zh-CN"/>
        </w:rPr>
        <w:t>800人次。</w:t>
      </w:r>
    </w:p>
    <w:p w14:paraId="397309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预算数39.88万元，决算数39.88万元，预决算差异率0.00%，主要原因是：本年严格按年初预算执行“三公”经费，预决算对比无差异。其中：因公出国（境）费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预算数34.88万元，决算数34.88万元，预决算差异率0.00%，主要原因是：本年严格按年初预算执行“三公”经费，预决算对比无差异；公务接待费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预算数5.00万元，决算数5.00万元，预决算差异率0.00%，主要原因是：本年严格按年初预算执行“三公”经费，预决算对比无差异。</w:t>
      </w:r>
    </w:p>
    <w:p w14:paraId="0D4585F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F31F13C">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A0058B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A58877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1512351">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0C49A7E">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16792DD">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纪律检查委员会（行政单位和参照公务员法管理事业单位）机关运行经费支出560.13万元，比上年增加194.45万元，增长53.17%,主要原因是：本年单位办公经费、水电费、取暖费等较上年增加。</w:t>
      </w:r>
    </w:p>
    <w:p w14:paraId="5D79FFE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C5A1B2E">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2023年度政府采购支出总额198.57万元，其中：政府采购货物支出105.68万元、政府采购工程支出51.99万元、政府采购服务支出40.90万元。</w:t>
      </w:r>
    </w:p>
    <w:p w14:paraId="17D16F4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授予中小企业合同金额192.50万元，占政府采购支出总额的96.94</w:t>
      </w:r>
      <w:r>
        <w:rPr>
          <w:rFonts w:ascii="仿宋_GB2312" w:eastAsia="仿宋_GB2312"/>
          <w:sz w:val="32"/>
          <w:szCs w:val="32"/>
        </w:rPr>
        <w:t>%</w:t>
      </w:r>
      <w:r>
        <w:rPr>
          <w:rFonts w:hint="eastAsia" w:ascii="仿宋_GB2312" w:eastAsia="仿宋_GB2312"/>
          <w:sz w:val="32"/>
          <w:szCs w:val="32"/>
        </w:rPr>
        <w:t>，其中：授予小微企业合同金额170.32万元，占政府采购支出总额的85.77</w:t>
      </w:r>
      <w:r>
        <w:rPr>
          <w:rFonts w:ascii="仿宋_GB2312" w:eastAsia="仿宋_GB2312"/>
          <w:sz w:val="32"/>
          <w:szCs w:val="32"/>
        </w:rPr>
        <w:t>%</w:t>
      </w:r>
      <w:r>
        <w:rPr>
          <w:rFonts w:hint="eastAsia" w:ascii="仿宋_GB2312" w:eastAsia="仿宋_GB2312"/>
          <w:sz w:val="32"/>
          <w:szCs w:val="32"/>
        </w:rPr>
        <w:t>。</w:t>
      </w:r>
    </w:p>
    <w:p w14:paraId="58A6E024">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4F1ADC2">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截至2023年12月31日，固定资产原值731.45万元，房屋2</w:t>
      </w:r>
      <w:r>
        <w:rPr>
          <w:rFonts w:ascii="仿宋_GB2312" w:eastAsia="仿宋_GB2312"/>
          <w:sz w:val="32"/>
          <w:szCs w:val="32"/>
        </w:rPr>
        <w:t>,</w:t>
      </w:r>
      <w:r>
        <w:rPr>
          <w:rFonts w:hint="eastAsia" w:ascii="仿宋_GB2312" w:eastAsia="仿宋_GB2312"/>
          <w:sz w:val="32"/>
          <w:szCs w:val="32"/>
        </w:rPr>
        <w:t>293.0</w:t>
      </w:r>
      <w:r>
        <w:rPr>
          <w:rFonts w:ascii="仿宋_GB2312" w:eastAsia="仿宋_GB2312"/>
          <w:sz w:val="32"/>
          <w:szCs w:val="32"/>
        </w:rPr>
        <w:t>0</w:t>
      </w:r>
      <w:r>
        <w:rPr>
          <w:rFonts w:hint="eastAsia" w:ascii="仿宋_GB2312" w:eastAsia="仿宋_GB2312"/>
          <w:sz w:val="32"/>
          <w:szCs w:val="32"/>
        </w:rPr>
        <w:t>平方米，价值200.73万元。车辆9辆，价值142.52万元，其中：副部（省）级及以上领导用车0辆、主要负责人用车0辆、机要通信用车0辆、应急保障用车0辆、执法执勤用车7辆、特种专业技术用车0辆、离退休干部服务用车0辆、其他用车2辆，其他用车主要是：单位业务用车；单价100万元（含）以上设备（不含车辆）0台（套）。</w:t>
      </w:r>
    </w:p>
    <w:p w14:paraId="16A39570">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CA8B8B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2,673.52</w:t>
      </w:r>
      <w:r>
        <w:rPr>
          <w:rFonts w:hint="eastAsia" w:ascii="仿宋_GB2312" w:eastAsia="仿宋_GB2312"/>
          <w:sz w:val="32"/>
          <w:szCs w:val="32"/>
        </w:rPr>
        <w:t>万元，实际执行总额</w:t>
      </w:r>
      <w:r>
        <w:rPr>
          <w:rFonts w:ascii="仿宋_GB2312" w:eastAsia="仿宋_GB2312"/>
          <w:sz w:val="32"/>
          <w:szCs w:val="32"/>
        </w:rPr>
        <w:t>2,673.46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预算绩效评价项目1个，全年预算数12.54万元，全年执行数12.54万元。预算绩效管理取得的成效：一是制订专项资金管理制度，各专项资金建立了专账，</w:t>
      </w:r>
      <w:r>
        <w:rPr>
          <w:rFonts w:hint="eastAsia" w:ascii="仿宋_GB2312" w:eastAsia="仿宋_GB2312"/>
          <w:sz w:val="32"/>
          <w:szCs w:val="32"/>
          <w:lang w:eastAsia="zh-CN"/>
        </w:rPr>
        <w:t>制定</w:t>
      </w:r>
      <w:r>
        <w:rPr>
          <w:rFonts w:hint="eastAsia" w:ascii="仿宋_GB2312" w:eastAsia="仿宋_GB2312"/>
          <w:sz w:val="32"/>
          <w:szCs w:val="32"/>
        </w:rPr>
        <w:t>了项目实施方案；二是切实</w:t>
      </w:r>
      <w:r>
        <w:rPr>
          <w:rFonts w:hint="eastAsia" w:ascii="仿宋_GB2312" w:eastAsia="仿宋_GB2312"/>
          <w:sz w:val="32"/>
          <w:szCs w:val="32"/>
          <w:lang w:eastAsia="zh-CN"/>
        </w:rPr>
        <w:t>维护专项资金</w:t>
      </w:r>
      <w:r>
        <w:rPr>
          <w:rFonts w:hint="eastAsia" w:ascii="仿宋_GB2312" w:eastAsia="仿宋_GB2312"/>
          <w:sz w:val="32"/>
          <w:szCs w:val="32"/>
        </w:rPr>
        <w:t>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w:t>
      </w:r>
      <w:r>
        <w:rPr>
          <w:rFonts w:hint="eastAsia" w:ascii="仿宋_GB2312" w:eastAsia="仿宋_GB2312"/>
          <w:sz w:val="32"/>
          <w:szCs w:val="32"/>
          <w:lang w:eastAsia="zh-CN"/>
        </w:rPr>
        <w:t>校</w:t>
      </w:r>
      <w:r>
        <w:rPr>
          <w:rFonts w:hint="eastAsia" w:ascii="仿宋_GB2312" w:eastAsia="仿宋_GB2312"/>
          <w:sz w:val="32"/>
          <w:szCs w:val="32"/>
        </w:rPr>
        <w:t>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676"/>
        <w:gridCol w:w="1282"/>
        <w:gridCol w:w="1417"/>
        <w:gridCol w:w="1559"/>
        <w:gridCol w:w="995"/>
        <w:gridCol w:w="851"/>
        <w:gridCol w:w="898"/>
      </w:tblGrid>
      <w:tr w14:paraId="6BCE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0FC3F657">
            <w:pPr>
              <w:ind w:firstLine="400" w:firstLineChars="200"/>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部门（单位）整体支出绩效目标自评表</w:t>
            </w:r>
          </w:p>
        </w:tc>
      </w:tr>
      <w:tr w14:paraId="0EAE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5F92680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71CD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44" w:type="dxa"/>
            <w:shd w:val="clear" w:color="auto" w:fill="auto"/>
            <w:noWrap/>
            <w:vAlign w:val="center"/>
          </w:tcPr>
          <w:p w14:paraId="486C7A7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678" w:type="dxa"/>
            <w:gridSpan w:val="7"/>
            <w:shd w:val="clear" w:color="auto" w:fill="auto"/>
            <w:noWrap/>
            <w:vAlign w:val="center"/>
          </w:tcPr>
          <w:p w14:paraId="04A2BA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lang w:eastAsia="zh-CN"/>
              </w:rPr>
              <w:t>木垒哈萨克自治县</w:t>
            </w:r>
            <w:r>
              <w:rPr>
                <w:rFonts w:hint="eastAsia" w:cs="宋体" w:asciiTheme="minorEastAsia" w:hAnsiTheme="minorEastAsia" w:eastAsiaTheme="minorEastAsia"/>
                <w:bCs/>
                <w:kern w:val="0"/>
                <w:sz w:val="20"/>
                <w:szCs w:val="20"/>
              </w:rPr>
              <w:t>纪律检查委员会</w:t>
            </w:r>
          </w:p>
        </w:tc>
      </w:tr>
      <w:tr w14:paraId="6898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4" w:type="dxa"/>
            <w:vMerge w:val="restart"/>
            <w:shd w:val="clear" w:color="auto" w:fill="auto"/>
            <w:vAlign w:val="center"/>
          </w:tcPr>
          <w:p w14:paraId="77D5617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676" w:type="dxa"/>
            <w:shd w:val="clear" w:color="auto" w:fill="auto"/>
            <w:vAlign w:val="center"/>
          </w:tcPr>
          <w:p w14:paraId="5007F13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82" w:type="dxa"/>
            <w:shd w:val="clear" w:color="auto" w:fill="auto"/>
            <w:vAlign w:val="center"/>
          </w:tcPr>
          <w:p w14:paraId="5BBD714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417" w:type="dxa"/>
            <w:shd w:val="clear" w:color="auto" w:fill="auto"/>
            <w:vAlign w:val="center"/>
          </w:tcPr>
          <w:p w14:paraId="0DAF36F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559" w:type="dxa"/>
            <w:shd w:val="clear" w:color="auto" w:fill="auto"/>
            <w:vAlign w:val="center"/>
          </w:tcPr>
          <w:p w14:paraId="15DB6A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5" w:type="dxa"/>
            <w:shd w:val="clear" w:color="auto" w:fill="auto"/>
            <w:vAlign w:val="center"/>
          </w:tcPr>
          <w:p w14:paraId="1DA3F83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36758E4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898" w:type="dxa"/>
            <w:shd w:val="clear" w:color="auto" w:fill="auto"/>
            <w:vAlign w:val="center"/>
          </w:tcPr>
          <w:p w14:paraId="56DFF3C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131F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373AC58A">
            <w:pPr>
              <w:widowControl/>
              <w:jc w:val="left"/>
              <w:rPr>
                <w:rFonts w:hint="eastAsia" w:cs="宋体" w:asciiTheme="minorEastAsia" w:hAnsiTheme="minorEastAsia" w:eastAsiaTheme="minorEastAsia"/>
                <w:bCs/>
                <w:kern w:val="0"/>
                <w:sz w:val="20"/>
                <w:szCs w:val="20"/>
              </w:rPr>
            </w:pPr>
          </w:p>
        </w:tc>
        <w:tc>
          <w:tcPr>
            <w:tcW w:w="676" w:type="dxa"/>
            <w:shd w:val="clear" w:color="auto" w:fill="auto"/>
            <w:noWrap/>
            <w:vAlign w:val="center"/>
          </w:tcPr>
          <w:p w14:paraId="64B9079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82" w:type="dxa"/>
            <w:shd w:val="clear" w:color="auto" w:fill="auto"/>
            <w:vAlign w:val="center"/>
          </w:tcPr>
          <w:p w14:paraId="2964F82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219006B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2D5F916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465AB3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20A04D3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898" w:type="dxa"/>
            <w:shd w:val="clear" w:color="auto" w:fill="auto"/>
            <w:vAlign w:val="center"/>
          </w:tcPr>
          <w:p w14:paraId="40BFA4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1B7B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34E64FED">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02950FF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82" w:type="dxa"/>
            <w:shd w:val="clear" w:color="auto" w:fill="auto"/>
            <w:vAlign w:val="center"/>
          </w:tcPr>
          <w:p w14:paraId="2B923A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23DCA8B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634214A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791F3B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E2C79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14:paraId="4B4B1B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3DA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5D6F7C44">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18FF271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82" w:type="dxa"/>
            <w:shd w:val="clear" w:color="auto" w:fill="auto"/>
            <w:vAlign w:val="center"/>
          </w:tcPr>
          <w:p w14:paraId="0F8BE79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054048D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0E37812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02618F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3D3AA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14:paraId="1A2E0D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620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1877F355">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4CBEC9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82" w:type="dxa"/>
            <w:shd w:val="clear" w:color="auto" w:fill="auto"/>
            <w:vAlign w:val="center"/>
          </w:tcPr>
          <w:p w14:paraId="4E55CFA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766.1</w:t>
            </w:r>
            <w:r>
              <w:rPr>
                <w:rFonts w:cs="宋体" w:asciiTheme="minorEastAsia" w:hAnsiTheme="minorEastAsia" w:eastAsiaTheme="minorEastAsia"/>
                <w:bCs/>
                <w:kern w:val="0"/>
                <w:sz w:val="20"/>
                <w:szCs w:val="20"/>
              </w:rPr>
              <w:t>0</w:t>
            </w:r>
          </w:p>
        </w:tc>
        <w:tc>
          <w:tcPr>
            <w:tcW w:w="1417" w:type="dxa"/>
            <w:shd w:val="clear" w:color="auto" w:fill="auto"/>
            <w:vAlign w:val="center"/>
          </w:tcPr>
          <w:p w14:paraId="4D0C473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2,673.52</w:t>
            </w:r>
          </w:p>
        </w:tc>
        <w:tc>
          <w:tcPr>
            <w:tcW w:w="1559" w:type="dxa"/>
            <w:shd w:val="clear" w:color="auto" w:fill="auto"/>
            <w:vAlign w:val="center"/>
          </w:tcPr>
          <w:p w14:paraId="6B149AA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673.46</w:t>
            </w:r>
          </w:p>
        </w:tc>
        <w:tc>
          <w:tcPr>
            <w:tcW w:w="995" w:type="dxa"/>
            <w:shd w:val="clear" w:color="auto" w:fill="auto"/>
            <w:vAlign w:val="center"/>
          </w:tcPr>
          <w:p w14:paraId="107E4081">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14:paraId="567D591F">
            <w:pPr>
              <w:widowControl/>
              <w:jc w:val="center"/>
              <w:rPr>
                <w:rFonts w:hint="eastAsia" w:cs="宋体" w:asciiTheme="minorEastAsia" w:hAnsiTheme="minorEastAsia" w:eastAsiaTheme="minorEastAsia"/>
                <w:kern w:val="0"/>
                <w:sz w:val="20"/>
                <w:szCs w:val="20"/>
              </w:rPr>
            </w:pPr>
            <w:r>
              <w:rPr>
                <w:rFonts w:hint="eastAsia"/>
              </w:rPr>
              <w:t>-</w:t>
            </w:r>
          </w:p>
        </w:tc>
        <w:tc>
          <w:tcPr>
            <w:tcW w:w="898" w:type="dxa"/>
            <w:shd w:val="clear" w:color="auto" w:fill="auto"/>
            <w:vAlign w:val="center"/>
          </w:tcPr>
          <w:p w14:paraId="21D0E64F">
            <w:pPr>
              <w:widowControl/>
              <w:jc w:val="center"/>
              <w:rPr>
                <w:rFonts w:hint="eastAsia" w:cs="宋体" w:asciiTheme="minorEastAsia" w:hAnsiTheme="minorEastAsia" w:eastAsiaTheme="minorEastAsia"/>
                <w:kern w:val="0"/>
                <w:sz w:val="20"/>
                <w:szCs w:val="20"/>
              </w:rPr>
            </w:pPr>
            <w:r>
              <w:rPr>
                <w:rFonts w:hint="eastAsia"/>
              </w:rPr>
              <w:t>-</w:t>
            </w:r>
          </w:p>
        </w:tc>
      </w:tr>
      <w:tr w14:paraId="2AE1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7D9ECAB7">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4FD3D16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82" w:type="dxa"/>
            <w:shd w:val="clear" w:color="auto" w:fill="auto"/>
            <w:vAlign w:val="center"/>
          </w:tcPr>
          <w:p w14:paraId="0C145CA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0433CB3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5207AE3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0BB30E0F">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14:paraId="6F2F1104">
            <w:pPr>
              <w:widowControl/>
              <w:jc w:val="center"/>
              <w:rPr>
                <w:rFonts w:hint="eastAsia" w:cs="宋体" w:asciiTheme="minorEastAsia" w:hAnsiTheme="minorEastAsia" w:eastAsiaTheme="minorEastAsia"/>
                <w:kern w:val="0"/>
                <w:sz w:val="20"/>
                <w:szCs w:val="20"/>
              </w:rPr>
            </w:pPr>
            <w:r>
              <w:rPr>
                <w:rFonts w:hint="eastAsia"/>
              </w:rPr>
              <w:t>-</w:t>
            </w:r>
          </w:p>
        </w:tc>
        <w:tc>
          <w:tcPr>
            <w:tcW w:w="898" w:type="dxa"/>
            <w:shd w:val="clear" w:color="auto" w:fill="auto"/>
            <w:vAlign w:val="center"/>
          </w:tcPr>
          <w:p w14:paraId="7BACAFCD">
            <w:pPr>
              <w:widowControl/>
              <w:jc w:val="center"/>
              <w:rPr>
                <w:rFonts w:hint="eastAsia" w:cs="宋体" w:asciiTheme="minorEastAsia" w:hAnsiTheme="minorEastAsia" w:eastAsiaTheme="minorEastAsia"/>
                <w:kern w:val="0"/>
                <w:sz w:val="20"/>
                <w:szCs w:val="20"/>
              </w:rPr>
            </w:pPr>
            <w:r>
              <w:rPr>
                <w:rFonts w:hint="eastAsia"/>
              </w:rPr>
              <w:t>-</w:t>
            </w:r>
          </w:p>
        </w:tc>
      </w:tr>
      <w:tr w14:paraId="4EB9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1CA025F2">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46DC82B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82" w:type="dxa"/>
            <w:shd w:val="clear" w:color="auto" w:fill="auto"/>
            <w:vAlign w:val="center"/>
          </w:tcPr>
          <w:p w14:paraId="148E889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766.1</w:t>
            </w:r>
            <w:r>
              <w:rPr>
                <w:rFonts w:cs="宋体" w:asciiTheme="minorEastAsia" w:hAnsiTheme="minorEastAsia" w:eastAsiaTheme="minorEastAsia"/>
                <w:bCs/>
                <w:kern w:val="0"/>
                <w:sz w:val="20"/>
                <w:szCs w:val="20"/>
              </w:rPr>
              <w:t>0</w:t>
            </w:r>
          </w:p>
        </w:tc>
        <w:tc>
          <w:tcPr>
            <w:tcW w:w="1417" w:type="dxa"/>
            <w:shd w:val="clear" w:color="auto" w:fill="auto"/>
            <w:vAlign w:val="center"/>
          </w:tcPr>
          <w:p w14:paraId="3B1B8703">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2,673.52</w:t>
            </w:r>
          </w:p>
        </w:tc>
        <w:tc>
          <w:tcPr>
            <w:tcW w:w="1559" w:type="dxa"/>
            <w:shd w:val="clear" w:color="auto" w:fill="auto"/>
            <w:vAlign w:val="center"/>
          </w:tcPr>
          <w:p w14:paraId="2A175C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673.46</w:t>
            </w:r>
          </w:p>
        </w:tc>
        <w:tc>
          <w:tcPr>
            <w:tcW w:w="995" w:type="dxa"/>
            <w:shd w:val="clear" w:color="auto" w:fill="auto"/>
            <w:vAlign w:val="center"/>
          </w:tcPr>
          <w:p w14:paraId="5D4D0E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03FC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14:paraId="5991F0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E1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44" w:type="dxa"/>
            <w:vMerge w:val="restart"/>
            <w:shd w:val="clear" w:color="auto" w:fill="auto"/>
            <w:vAlign w:val="center"/>
          </w:tcPr>
          <w:p w14:paraId="44DFDE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75" w:type="dxa"/>
            <w:gridSpan w:val="3"/>
            <w:shd w:val="clear" w:color="auto" w:fill="auto"/>
            <w:noWrap/>
            <w:vAlign w:val="center"/>
          </w:tcPr>
          <w:p w14:paraId="5B6208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303" w:type="dxa"/>
            <w:gridSpan w:val="4"/>
            <w:shd w:val="clear" w:color="auto" w:fill="auto"/>
            <w:noWrap/>
            <w:vAlign w:val="center"/>
          </w:tcPr>
          <w:p w14:paraId="5AE811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0B8F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844" w:type="dxa"/>
            <w:vMerge w:val="continue"/>
            <w:vAlign w:val="center"/>
          </w:tcPr>
          <w:p w14:paraId="4666B250">
            <w:pPr>
              <w:widowControl/>
              <w:jc w:val="left"/>
              <w:rPr>
                <w:rFonts w:hint="eastAsia" w:cs="宋体" w:asciiTheme="minorEastAsia" w:hAnsiTheme="minorEastAsia" w:eastAsiaTheme="minorEastAsia"/>
                <w:bCs/>
                <w:kern w:val="0"/>
                <w:sz w:val="20"/>
                <w:szCs w:val="20"/>
              </w:rPr>
            </w:pPr>
          </w:p>
        </w:tc>
        <w:tc>
          <w:tcPr>
            <w:tcW w:w="3375" w:type="dxa"/>
            <w:gridSpan w:val="3"/>
            <w:shd w:val="clear" w:color="auto" w:fill="auto"/>
            <w:vAlign w:val="center"/>
          </w:tcPr>
          <w:p w14:paraId="6CD385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1、完成年度纪律检查工作；2、配合自治县党委巡察工作领导小组指导全县单位巡访工作；3、依照法律规定履行监督、调查、处置工作。</w:t>
            </w:r>
          </w:p>
        </w:tc>
        <w:tc>
          <w:tcPr>
            <w:tcW w:w="4303" w:type="dxa"/>
            <w:gridSpan w:val="4"/>
            <w:shd w:val="clear" w:color="auto" w:fill="auto"/>
            <w:vAlign w:val="center"/>
          </w:tcPr>
          <w:p w14:paraId="09C2A7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截至2023年</w:t>
            </w:r>
            <w:r>
              <w:rPr>
                <w:rFonts w:hint="eastAsia" w:cs="宋体" w:asciiTheme="minorEastAsia" w:hAnsiTheme="minorEastAsia" w:eastAsiaTheme="minorEastAsia"/>
                <w:kern w:val="0"/>
                <w:sz w:val="20"/>
                <w:szCs w:val="20"/>
              </w:rPr>
              <w:t>部门整体自评，我单位已完成如下工作：保障办公人员数量118人，房屋建筑物供暖面积2152平方米，开展法定节假日落实中央八项规定精神专项督查次数5次，全面从严治党主体责任落实情况检查单位个数50个，完成年度纪律检查工作；配合自治县党委巡察工作领导小组指导全县单位巡访工作；依照法律规定履行监督、调查、处置工作。</w:t>
            </w:r>
          </w:p>
        </w:tc>
      </w:tr>
      <w:tr w14:paraId="56E5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4" w:type="dxa"/>
            <w:shd w:val="clear" w:color="auto" w:fill="auto"/>
            <w:vAlign w:val="center"/>
          </w:tcPr>
          <w:p w14:paraId="1F14E57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676" w:type="dxa"/>
            <w:shd w:val="clear" w:color="auto" w:fill="auto"/>
            <w:vAlign w:val="center"/>
          </w:tcPr>
          <w:p w14:paraId="7FB502A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82" w:type="dxa"/>
            <w:shd w:val="clear" w:color="auto" w:fill="auto"/>
            <w:vAlign w:val="center"/>
          </w:tcPr>
          <w:p w14:paraId="5E332EA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417" w:type="dxa"/>
            <w:shd w:val="clear" w:color="auto" w:fill="auto"/>
            <w:vAlign w:val="center"/>
          </w:tcPr>
          <w:p w14:paraId="6C92D8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559" w:type="dxa"/>
            <w:shd w:val="clear" w:color="auto" w:fill="auto"/>
            <w:vAlign w:val="center"/>
          </w:tcPr>
          <w:p w14:paraId="589B9E4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5" w:type="dxa"/>
            <w:shd w:val="clear" w:color="auto" w:fill="auto"/>
            <w:vAlign w:val="center"/>
          </w:tcPr>
          <w:p w14:paraId="6513FC8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4ACAE49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898" w:type="dxa"/>
            <w:shd w:val="clear" w:color="auto" w:fill="auto"/>
            <w:vAlign w:val="center"/>
          </w:tcPr>
          <w:p w14:paraId="64B034C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7FF3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14:paraId="33FEA2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76" w:type="dxa"/>
            <w:vMerge w:val="restart"/>
            <w:shd w:val="clear" w:color="auto" w:fill="auto"/>
            <w:vAlign w:val="center"/>
          </w:tcPr>
          <w:p w14:paraId="4AAB6E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82" w:type="dxa"/>
            <w:shd w:val="clear" w:color="auto" w:fill="auto"/>
            <w:vAlign w:val="center"/>
          </w:tcPr>
          <w:p w14:paraId="2DCB16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417" w:type="dxa"/>
            <w:shd w:val="clear" w:color="auto" w:fill="auto"/>
            <w:vAlign w:val="center"/>
          </w:tcPr>
          <w:p w14:paraId="63251A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&gt;=118人</w:t>
            </w:r>
          </w:p>
        </w:tc>
        <w:tc>
          <w:tcPr>
            <w:tcW w:w="1559" w:type="dxa"/>
            <w:shd w:val="clear" w:color="auto" w:fill="auto"/>
            <w:vAlign w:val="center"/>
          </w:tcPr>
          <w:p w14:paraId="2169A2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w:t>
            </w:r>
            <w:bookmarkStart w:id="48" w:name="_GoBack"/>
            <w:r>
              <w:rPr>
                <w:rFonts w:hint="eastAsia" w:cs="宋体" w:asciiTheme="minorEastAsia" w:hAnsiTheme="minorEastAsia" w:eastAsiaTheme="minorEastAsia"/>
                <w:kern w:val="0"/>
                <w:sz w:val="20"/>
                <w:szCs w:val="20"/>
              </w:rPr>
              <w:t>木垒县</w:t>
            </w:r>
            <w:bookmarkEnd w:id="48"/>
            <w:r>
              <w:rPr>
                <w:rFonts w:hint="eastAsia" w:cs="宋体" w:asciiTheme="minorEastAsia" w:hAnsiTheme="minorEastAsia" w:eastAsiaTheme="minorEastAsia"/>
                <w:kern w:val="0"/>
                <w:sz w:val="20"/>
                <w:szCs w:val="20"/>
              </w:rPr>
              <w:t>委员会办公室、木垒县人民政府办公室关于印发《木垒县纪委监委职能配置、内设机构和人员编制规定》的通知</w:t>
            </w:r>
          </w:p>
        </w:tc>
        <w:tc>
          <w:tcPr>
            <w:tcW w:w="995" w:type="dxa"/>
            <w:shd w:val="clear" w:color="auto" w:fill="auto"/>
            <w:vAlign w:val="center"/>
          </w:tcPr>
          <w:p w14:paraId="6C7FD8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14:paraId="7FA5DC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118人</w:t>
            </w:r>
          </w:p>
        </w:tc>
        <w:tc>
          <w:tcPr>
            <w:tcW w:w="898" w:type="dxa"/>
            <w:shd w:val="clear" w:color="auto" w:fill="auto"/>
            <w:vAlign w:val="center"/>
          </w:tcPr>
          <w:p w14:paraId="190215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6A9D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14:paraId="2C792B11">
            <w:pPr>
              <w:widowControl/>
              <w:jc w:val="left"/>
              <w:rPr>
                <w:rFonts w:hint="eastAsia" w:cs="宋体" w:asciiTheme="minorEastAsia" w:hAnsiTheme="minorEastAsia" w:eastAsiaTheme="minorEastAsia"/>
                <w:kern w:val="0"/>
                <w:sz w:val="20"/>
                <w:szCs w:val="20"/>
              </w:rPr>
            </w:pPr>
          </w:p>
        </w:tc>
        <w:tc>
          <w:tcPr>
            <w:tcW w:w="676" w:type="dxa"/>
            <w:vMerge w:val="continue"/>
            <w:vAlign w:val="center"/>
          </w:tcPr>
          <w:p w14:paraId="3F75EAA4">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14:paraId="29B769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417" w:type="dxa"/>
            <w:shd w:val="clear" w:color="auto" w:fill="auto"/>
            <w:vAlign w:val="center"/>
          </w:tcPr>
          <w:p w14:paraId="7C5CD7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&gt;2152平方米</w:t>
            </w:r>
          </w:p>
        </w:tc>
        <w:tc>
          <w:tcPr>
            <w:tcW w:w="1559" w:type="dxa"/>
            <w:shd w:val="clear" w:color="auto" w:fill="auto"/>
            <w:vAlign w:val="center"/>
          </w:tcPr>
          <w:p w14:paraId="10C42D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中共木垒县委员会办公室、木垒县人民政府办公室关于印发《木垒县纪委监委职能配置、内设机构和编制规定》的通知</w:t>
            </w:r>
          </w:p>
        </w:tc>
        <w:tc>
          <w:tcPr>
            <w:tcW w:w="995" w:type="dxa"/>
            <w:shd w:val="clear" w:color="auto" w:fill="auto"/>
            <w:vAlign w:val="center"/>
          </w:tcPr>
          <w:p w14:paraId="510AE1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14:paraId="29698A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2152平方米</w:t>
            </w:r>
          </w:p>
        </w:tc>
        <w:tc>
          <w:tcPr>
            <w:tcW w:w="898" w:type="dxa"/>
            <w:shd w:val="clear" w:color="auto" w:fill="auto"/>
            <w:vAlign w:val="center"/>
          </w:tcPr>
          <w:p w14:paraId="50F88F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C2C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14:paraId="262753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76" w:type="dxa"/>
            <w:vMerge w:val="continue"/>
            <w:vAlign w:val="center"/>
          </w:tcPr>
          <w:p w14:paraId="4DAC0049">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14:paraId="5A93C3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开展法定节假日落实中央八项规定精神专项督查次数</w:t>
            </w:r>
          </w:p>
        </w:tc>
        <w:tc>
          <w:tcPr>
            <w:tcW w:w="1417" w:type="dxa"/>
            <w:shd w:val="clear" w:color="auto" w:fill="auto"/>
            <w:vAlign w:val="center"/>
          </w:tcPr>
          <w:p w14:paraId="71B8C9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559" w:type="dxa"/>
            <w:shd w:val="clear" w:color="auto" w:fill="auto"/>
            <w:vAlign w:val="center"/>
          </w:tcPr>
          <w:p w14:paraId="590D7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74F69C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14:paraId="33DB52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5次</w:t>
            </w:r>
          </w:p>
        </w:tc>
        <w:tc>
          <w:tcPr>
            <w:tcW w:w="898" w:type="dxa"/>
            <w:shd w:val="clear" w:color="auto" w:fill="auto"/>
            <w:vAlign w:val="center"/>
          </w:tcPr>
          <w:p w14:paraId="000BB5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2C33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14:paraId="20EE5756">
            <w:pPr>
              <w:widowControl/>
              <w:jc w:val="left"/>
              <w:rPr>
                <w:rFonts w:hint="eastAsia" w:cs="宋体" w:asciiTheme="minorEastAsia" w:hAnsiTheme="minorEastAsia" w:eastAsiaTheme="minorEastAsia"/>
                <w:kern w:val="0"/>
                <w:sz w:val="20"/>
                <w:szCs w:val="20"/>
              </w:rPr>
            </w:pPr>
          </w:p>
        </w:tc>
        <w:tc>
          <w:tcPr>
            <w:tcW w:w="676" w:type="dxa"/>
            <w:shd w:val="clear" w:color="auto" w:fill="auto"/>
            <w:vAlign w:val="center"/>
          </w:tcPr>
          <w:p w14:paraId="729938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82" w:type="dxa"/>
            <w:shd w:val="clear" w:color="auto" w:fill="auto"/>
            <w:vAlign w:val="center"/>
          </w:tcPr>
          <w:p w14:paraId="7B0F4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常规及专项巡察覆盖率</w:t>
            </w:r>
          </w:p>
        </w:tc>
        <w:tc>
          <w:tcPr>
            <w:tcW w:w="1417" w:type="dxa"/>
            <w:shd w:val="clear" w:color="auto" w:fill="auto"/>
            <w:vAlign w:val="center"/>
          </w:tcPr>
          <w:p w14:paraId="14076A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59" w:type="dxa"/>
            <w:shd w:val="clear" w:color="auto" w:fill="auto"/>
            <w:vAlign w:val="center"/>
          </w:tcPr>
          <w:p w14:paraId="7B9D15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545968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14:paraId="051593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898" w:type="dxa"/>
            <w:shd w:val="clear" w:color="auto" w:fill="auto"/>
            <w:vAlign w:val="center"/>
          </w:tcPr>
          <w:p w14:paraId="27C0D8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406D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14:paraId="5E5B64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76" w:type="dxa"/>
            <w:vMerge w:val="restart"/>
            <w:shd w:val="clear" w:color="auto" w:fill="auto"/>
            <w:vAlign w:val="center"/>
          </w:tcPr>
          <w:p w14:paraId="732FC5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82" w:type="dxa"/>
            <w:shd w:val="clear" w:color="auto" w:fill="auto"/>
            <w:vAlign w:val="center"/>
          </w:tcPr>
          <w:p w14:paraId="0ACA29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全面从严治党主体责任落实情况检查单位个数</w:t>
            </w:r>
          </w:p>
        </w:tc>
        <w:tc>
          <w:tcPr>
            <w:tcW w:w="1417" w:type="dxa"/>
            <w:shd w:val="clear" w:color="auto" w:fill="auto"/>
            <w:vAlign w:val="center"/>
          </w:tcPr>
          <w:p w14:paraId="08A93F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&gt;=50个</w:t>
            </w:r>
          </w:p>
        </w:tc>
        <w:tc>
          <w:tcPr>
            <w:tcW w:w="1559" w:type="dxa"/>
            <w:shd w:val="clear" w:color="auto" w:fill="auto"/>
            <w:vAlign w:val="center"/>
          </w:tcPr>
          <w:p w14:paraId="6007F1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2BD9BD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5B471F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50个</w:t>
            </w:r>
          </w:p>
        </w:tc>
        <w:tc>
          <w:tcPr>
            <w:tcW w:w="898" w:type="dxa"/>
            <w:shd w:val="clear" w:color="auto" w:fill="auto"/>
            <w:vAlign w:val="center"/>
          </w:tcPr>
          <w:p w14:paraId="528E84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749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14:paraId="4A6EAF83">
            <w:pPr>
              <w:widowControl/>
              <w:jc w:val="left"/>
              <w:rPr>
                <w:rFonts w:hint="eastAsia" w:cs="宋体" w:asciiTheme="minorEastAsia" w:hAnsiTheme="minorEastAsia" w:eastAsiaTheme="minorEastAsia"/>
                <w:kern w:val="0"/>
                <w:sz w:val="20"/>
                <w:szCs w:val="20"/>
              </w:rPr>
            </w:pPr>
          </w:p>
        </w:tc>
        <w:tc>
          <w:tcPr>
            <w:tcW w:w="676" w:type="dxa"/>
            <w:vMerge w:val="continue"/>
            <w:vAlign w:val="center"/>
          </w:tcPr>
          <w:p w14:paraId="13501C4B">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14:paraId="035A2B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2023年巡察轮次数</w:t>
            </w:r>
          </w:p>
        </w:tc>
        <w:tc>
          <w:tcPr>
            <w:tcW w:w="1417" w:type="dxa"/>
            <w:shd w:val="clear" w:color="auto" w:fill="auto"/>
            <w:vAlign w:val="center"/>
          </w:tcPr>
          <w:p w14:paraId="354B9D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&gt;=3轮次</w:t>
            </w:r>
          </w:p>
        </w:tc>
        <w:tc>
          <w:tcPr>
            <w:tcW w:w="1559" w:type="dxa"/>
            <w:shd w:val="clear" w:color="auto" w:fill="auto"/>
            <w:vAlign w:val="center"/>
          </w:tcPr>
          <w:p w14:paraId="30D369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3979FB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14:paraId="17BC72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3轮次</w:t>
            </w:r>
          </w:p>
        </w:tc>
        <w:tc>
          <w:tcPr>
            <w:tcW w:w="898" w:type="dxa"/>
            <w:shd w:val="clear" w:color="auto" w:fill="auto"/>
            <w:vAlign w:val="center"/>
          </w:tcPr>
          <w:p w14:paraId="3382AD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368B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14:paraId="10F0B83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76" w:type="dxa"/>
            <w:vMerge w:val="continue"/>
            <w:vAlign w:val="center"/>
          </w:tcPr>
          <w:p w14:paraId="7DD77456">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14:paraId="4D96F2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党员干部队伍中违纪违规等腐败案件查办率</w:t>
            </w:r>
          </w:p>
        </w:tc>
        <w:tc>
          <w:tcPr>
            <w:tcW w:w="1417" w:type="dxa"/>
            <w:shd w:val="clear" w:color="auto" w:fill="auto"/>
            <w:noWrap/>
            <w:vAlign w:val="center"/>
          </w:tcPr>
          <w:p w14:paraId="32D2371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559" w:type="dxa"/>
            <w:shd w:val="clear" w:color="auto" w:fill="auto"/>
            <w:noWrap/>
            <w:vAlign w:val="center"/>
          </w:tcPr>
          <w:p w14:paraId="45986C4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noWrap/>
            <w:vAlign w:val="center"/>
          </w:tcPr>
          <w:p w14:paraId="037EFAD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noWrap/>
            <w:vAlign w:val="center"/>
          </w:tcPr>
          <w:p w14:paraId="39691D0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898" w:type="dxa"/>
            <w:shd w:val="clear" w:color="auto" w:fill="auto"/>
            <w:noWrap/>
            <w:vAlign w:val="center"/>
          </w:tcPr>
          <w:p w14:paraId="108AC3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7E5055E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412"/>
        <w:gridCol w:w="716"/>
        <w:gridCol w:w="481"/>
        <w:gridCol w:w="1215"/>
        <w:gridCol w:w="423"/>
        <w:gridCol w:w="1280"/>
        <w:gridCol w:w="1237"/>
        <w:gridCol w:w="37"/>
        <w:gridCol w:w="472"/>
        <w:gridCol w:w="261"/>
        <w:gridCol w:w="392"/>
        <w:gridCol w:w="499"/>
        <w:gridCol w:w="689"/>
      </w:tblGrid>
      <w:tr w14:paraId="7F47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6AFCCCBE">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14:paraId="3216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7806A5E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5D73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14:paraId="2F7AB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8" w:type="pct"/>
            <w:gridSpan w:val="12"/>
            <w:shd w:val="clear" w:color="auto" w:fill="auto"/>
            <w:vAlign w:val="center"/>
          </w:tcPr>
          <w:p w14:paraId="12979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2023年度工作队驻村经费</w:t>
            </w:r>
          </w:p>
        </w:tc>
      </w:tr>
      <w:tr w14:paraId="2828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14:paraId="23392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4" w:type="pct"/>
            <w:gridSpan w:val="5"/>
            <w:shd w:val="clear" w:color="auto" w:fill="auto"/>
            <w:vAlign w:val="center"/>
          </w:tcPr>
          <w:p w14:paraId="61FD5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纪律检查委员会</w:t>
            </w:r>
          </w:p>
        </w:tc>
        <w:tc>
          <w:tcPr>
            <w:tcW w:w="747" w:type="pct"/>
            <w:gridSpan w:val="2"/>
            <w:shd w:val="clear" w:color="auto" w:fill="auto"/>
            <w:vAlign w:val="center"/>
          </w:tcPr>
          <w:p w14:paraId="4FDEE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7" w:type="pct"/>
            <w:gridSpan w:val="5"/>
            <w:shd w:val="clear" w:color="auto" w:fill="auto"/>
            <w:vAlign w:val="center"/>
          </w:tcPr>
          <w:p w14:paraId="346F2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纪律检查委员会</w:t>
            </w:r>
          </w:p>
        </w:tc>
      </w:tr>
      <w:tr w14:paraId="1EB5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1" w:type="pct"/>
            <w:gridSpan w:val="2"/>
            <w:vMerge w:val="restart"/>
            <w:shd w:val="clear" w:color="auto" w:fill="auto"/>
            <w:vAlign w:val="center"/>
          </w:tcPr>
          <w:p w14:paraId="2F7A0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02" w:type="pct"/>
            <w:gridSpan w:val="2"/>
            <w:shd w:val="clear" w:color="auto" w:fill="auto"/>
            <w:vAlign w:val="center"/>
          </w:tcPr>
          <w:p w14:paraId="77B5AFF5">
            <w:pPr>
              <w:widowControl/>
              <w:jc w:val="center"/>
              <w:rPr>
                <w:rFonts w:hint="eastAsia" w:ascii="宋体" w:hAnsi="宋体" w:cs="宋体"/>
                <w:color w:val="000000"/>
                <w:kern w:val="0"/>
                <w:sz w:val="20"/>
                <w:szCs w:val="20"/>
              </w:rPr>
            </w:pPr>
          </w:p>
        </w:tc>
        <w:tc>
          <w:tcPr>
            <w:tcW w:w="961" w:type="pct"/>
            <w:gridSpan w:val="2"/>
            <w:shd w:val="clear" w:color="auto" w:fill="auto"/>
            <w:vAlign w:val="center"/>
          </w:tcPr>
          <w:p w14:paraId="102C4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0" w:type="pct"/>
            <w:shd w:val="clear" w:color="auto" w:fill="auto"/>
            <w:vAlign w:val="center"/>
          </w:tcPr>
          <w:p w14:paraId="0D0DF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7" w:type="pct"/>
            <w:gridSpan w:val="2"/>
            <w:shd w:val="clear" w:color="auto" w:fill="auto"/>
            <w:vAlign w:val="center"/>
          </w:tcPr>
          <w:p w14:paraId="6AFD4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0" w:type="pct"/>
            <w:gridSpan w:val="2"/>
            <w:shd w:val="clear" w:color="auto" w:fill="auto"/>
            <w:vAlign w:val="center"/>
          </w:tcPr>
          <w:p w14:paraId="11C2C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gridSpan w:val="2"/>
            <w:shd w:val="clear" w:color="auto" w:fill="auto"/>
            <w:vAlign w:val="center"/>
          </w:tcPr>
          <w:p w14:paraId="79321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4" w:type="pct"/>
            <w:shd w:val="clear" w:color="auto" w:fill="auto"/>
            <w:vAlign w:val="center"/>
          </w:tcPr>
          <w:p w14:paraId="115FA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BA7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325F3C64">
            <w:pPr>
              <w:widowControl/>
              <w:jc w:val="left"/>
              <w:rPr>
                <w:rFonts w:hint="eastAsia" w:ascii="宋体" w:hAnsi="宋体" w:cs="宋体"/>
                <w:color w:val="000000"/>
                <w:kern w:val="0"/>
                <w:sz w:val="20"/>
                <w:szCs w:val="20"/>
              </w:rPr>
            </w:pPr>
          </w:p>
        </w:tc>
        <w:tc>
          <w:tcPr>
            <w:tcW w:w="702" w:type="pct"/>
            <w:gridSpan w:val="2"/>
            <w:shd w:val="clear" w:color="auto" w:fill="auto"/>
            <w:vAlign w:val="center"/>
          </w:tcPr>
          <w:p w14:paraId="0A9C8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pct"/>
            <w:gridSpan w:val="2"/>
            <w:shd w:val="clear" w:color="auto" w:fill="auto"/>
            <w:vAlign w:val="center"/>
          </w:tcPr>
          <w:p w14:paraId="320C8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50" w:type="pct"/>
            <w:shd w:val="clear" w:color="auto" w:fill="auto"/>
            <w:vAlign w:val="center"/>
          </w:tcPr>
          <w:p w14:paraId="26403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47" w:type="pct"/>
            <w:gridSpan w:val="2"/>
            <w:shd w:val="clear" w:color="auto" w:fill="auto"/>
            <w:vAlign w:val="center"/>
          </w:tcPr>
          <w:p w14:paraId="07D81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430" w:type="pct"/>
            <w:gridSpan w:val="2"/>
            <w:shd w:val="clear" w:color="auto" w:fill="auto"/>
            <w:vAlign w:val="center"/>
          </w:tcPr>
          <w:p w14:paraId="07EA3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shd w:val="clear" w:color="auto" w:fill="auto"/>
            <w:vAlign w:val="center"/>
          </w:tcPr>
          <w:p w14:paraId="3E472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4" w:type="pct"/>
            <w:shd w:val="clear" w:color="auto" w:fill="auto"/>
            <w:vAlign w:val="center"/>
          </w:tcPr>
          <w:p w14:paraId="4A871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38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28DE450A">
            <w:pPr>
              <w:widowControl/>
              <w:jc w:val="left"/>
              <w:rPr>
                <w:rFonts w:hint="eastAsia" w:ascii="宋体" w:hAnsi="宋体" w:cs="宋体"/>
                <w:color w:val="000000"/>
                <w:kern w:val="0"/>
                <w:sz w:val="20"/>
                <w:szCs w:val="20"/>
              </w:rPr>
            </w:pPr>
          </w:p>
        </w:tc>
        <w:tc>
          <w:tcPr>
            <w:tcW w:w="702" w:type="pct"/>
            <w:gridSpan w:val="2"/>
            <w:shd w:val="clear" w:color="auto" w:fill="auto"/>
            <w:vAlign w:val="center"/>
          </w:tcPr>
          <w:p w14:paraId="720B4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pct"/>
            <w:gridSpan w:val="2"/>
            <w:shd w:val="clear" w:color="auto" w:fill="auto"/>
            <w:vAlign w:val="center"/>
          </w:tcPr>
          <w:p w14:paraId="36578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50" w:type="pct"/>
            <w:shd w:val="clear" w:color="auto" w:fill="auto"/>
            <w:vAlign w:val="center"/>
          </w:tcPr>
          <w:p w14:paraId="5787D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47" w:type="pct"/>
            <w:gridSpan w:val="2"/>
            <w:shd w:val="clear" w:color="auto" w:fill="auto"/>
            <w:vAlign w:val="center"/>
          </w:tcPr>
          <w:p w14:paraId="109CB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430" w:type="pct"/>
            <w:gridSpan w:val="2"/>
            <w:shd w:val="clear" w:color="auto" w:fill="auto"/>
            <w:vAlign w:val="center"/>
          </w:tcPr>
          <w:p w14:paraId="66A63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2" w:type="pct"/>
            <w:gridSpan w:val="2"/>
            <w:shd w:val="clear" w:color="auto" w:fill="auto"/>
            <w:vAlign w:val="center"/>
          </w:tcPr>
          <w:p w14:paraId="10E23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shd w:val="clear" w:color="auto" w:fill="auto"/>
            <w:vAlign w:val="center"/>
          </w:tcPr>
          <w:p w14:paraId="524D1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F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709C0C93">
            <w:pPr>
              <w:widowControl/>
              <w:jc w:val="left"/>
              <w:rPr>
                <w:rFonts w:hint="eastAsia" w:ascii="宋体" w:hAnsi="宋体" w:cs="宋体"/>
                <w:color w:val="000000"/>
                <w:kern w:val="0"/>
                <w:sz w:val="20"/>
                <w:szCs w:val="20"/>
              </w:rPr>
            </w:pPr>
          </w:p>
        </w:tc>
        <w:tc>
          <w:tcPr>
            <w:tcW w:w="702" w:type="pct"/>
            <w:gridSpan w:val="2"/>
            <w:shd w:val="clear" w:color="auto" w:fill="auto"/>
            <w:vAlign w:val="center"/>
          </w:tcPr>
          <w:p w14:paraId="2D9B5D7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61" w:type="pct"/>
            <w:gridSpan w:val="2"/>
            <w:shd w:val="clear" w:color="auto" w:fill="auto"/>
            <w:vAlign w:val="center"/>
          </w:tcPr>
          <w:p w14:paraId="3C5D4DA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0" w:type="pct"/>
            <w:shd w:val="clear" w:color="auto" w:fill="auto"/>
            <w:vAlign w:val="center"/>
          </w:tcPr>
          <w:p w14:paraId="6279256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7" w:type="pct"/>
            <w:gridSpan w:val="2"/>
            <w:shd w:val="clear" w:color="auto" w:fill="auto"/>
            <w:vAlign w:val="center"/>
          </w:tcPr>
          <w:p w14:paraId="5C9CFEE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0" w:type="pct"/>
            <w:gridSpan w:val="2"/>
            <w:shd w:val="clear" w:color="auto" w:fill="auto"/>
            <w:vAlign w:val="center"/>
          </w:tcPr>
          <w:p w14:paraId="0DEB5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2" w:type="pct"/>
            <w:gridSpan w:val="2"/>
            <w:shd w:val="clear" w:color="auto" w:fill="auto"/>
            <w:vAlign w:val="center"/>
          </w:tcPr>
          <w:p w14:paraId="1796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shd w:val="clear" w:color="auto" w:fill="auto"/>
            <w:vAlign w:val="center"/>
          </w:tcPr>
          <w:p w14:paraId="00356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EB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39" w:type="pct"/>
            <w:vMerge w:val="restart"/>
            <w:shd w:val="clear" w:color="auto" w:fill="auto"/>
            <w:vAlign w:val="center"/>
          </w:tcPr>
          <w:p w14:paraId="1C004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6" w:type="pct"/>
            <w:gridSpan w:val="6"/>
            <w:shd w:val="clear" w:color="auto" w:fill="auto"/>
            <w:vAlign w:val="center"/>
          </w:tcPr>
          <w:p w14:paraId="51007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4" w:type="pct"/>
            <w:gridSpan w:val="7"/>
            <w:shd w:val="clear" w:color="auto" w:fill="auto"/>
            <w:vAlign w:val="center"/>
          </w:tcPr>
          <w:p w14:paraId="19847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01F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9" w:type="pct"/>
            <w:vMerge w:val="continue"/>
            <w:vAlign w:val="center"/>
          </w:tcPr>
          <w:p w14:paraId="21464150">
            <w:pPr>
              <w:widowControl/>
              <w:jc w:val="left"/>
              <w:rPr>
                <w:rFonts w:hint="eastAsia" w:ascii="宋体" w:hAnsi="宋体" w:cs="宋体"/>
                <w:color w:val="000000"/>
                <w:kern w:val="0"/>
                <w:sz w:val="20"/>
                <w:szCs w:val="20"/>
              </w:rPr>
            </w:pPr>
          </w:p>
        </w:tc>
        <w:tc>
          <w:tcPr>
            <w:tcW w:w="2656" w:type="pct"/>
            <w:gridSpan w:val="6"/>
            <w:shd w:val="clear" w:color="auto" w:fill="auto"/>
          </w:tcPr>
          <w:p w14:paraId="1F4456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认真落实区州县党委、人民政府深化驻村工作的部署要求，切实做好经费保障，确保驻村（社区）工作正常开展</w:t>
            </w:r>
          </w:p>
        </w:tc>
        <w:tc>
          <w:tcPr>
            <w:tcW w:w="2104" w:type="pct"/>
            <w:gridSpan w:val="7"/>
            <w:shd w:val="clear" w:color="auto" w:fill="auto"/>
          </w:tcPr>
          <w:p w14:paraId="1BB2A9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驻村干部人数5人，工作队为民办实事好事件数5件，为民办实事好事完成率均达到100%。认真落实区州县党委、人民政府深化驻村工作的部署要求，切实做好经费保障，确保驻村（社区）工作正常开展。</w:t>
            </w:r>
          </w:p>
        </w:tc>
      </w:tr>
      <w:tr w14:paraId="1130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restart"/>
            <w:shd w:val="clear" w:color="auto" w:fill="auto"/>
            <w:vAlign w:val="center"/>
          </w:tcPr>
          <w:p w14:paraId="35018739">
            <w:pPr>
              <w:widowControl/>
              <w:jc w:val="center"/>
              <w:rPr>
                <w:rFonts w:hint="eastAsia" w:ascii="宋体" w:hAnsi="宋体" w:cs="宋体"/>
                <w:color w:val="000000"/>
                <w:kern w:val="0"/>
                <w:sz w:val="20"/>
                <w:szCs w:val="20"/>
              </w:rPr>
            </w:pPr>
          </w:p>
        </w:tc>
        <w:tc>
          <w:tcPr>
            <w:tcW w:w="241" w:type="pct"/>
            <w:vMerge w:val="restart"/>
            <w:shd w:val="clear" w:color="auto" w:fill="auto"/>
            <w:vAlign w:val="center"/>
          </w:tcPr>
          <w:p w14:paraId="16AD6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0" w:type="pct"/>
            <w:vMerge w:val="restart"/>
            <w:shd w:val="clear" w:color="auto" w:fill="auto"/>
            <w:vAlign w:val="center"/>
          </w:tcPr>
          <w:p w14:paraId="1577E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5" w:type="pct"/>
            <w:gridSpan w:val="2"/>
            <w:vMerge w:val="restart"/>
            <w:shd w:val="clear" w:color="auto" w:fill="auto"/>
            <w:vAlign w:val="center"/>
          </w:tcPr>
          <w:p w14:paraId="34C14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9" w:type="pct"/>
            <w:gridSpan w:val="2"/>
            <w:vMerge w:val="restart"/>
            <w:shd w:val="clear" w:color="auto" w:fill="auto"/>
            <w:vAlign w:val="center"/>
          </w:tcPr>
          <w:p w14:paraId="76B1D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5" w:type="pct"/>
            <w:vMerge w:val="restart"/>
            <w:shd w:val="clear" w:color="auto" w:fill="auto"/>
            <w:vAlign w:val="center"/>
          </w:tcPr>
          <w:p w14:paraId="1F37E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8" w:type="pct"/>
            <w:gridSpan w:val="2"/>
            <w:vMerge w:val="restart"/>
            <w:shd w:val="clear" w:color="auto" w:fill="auto"/>
            <w:vAlign w:val="center"/>
          </w:tcPr>
          <w:p w14:paraId="3E406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shd w:val="clear" w:color="auto" w:fill="auto"/>
            <w:vAlign w:val="center"/>
          </w:tcPr>
          <w:p w14:paraId="46DEF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7" w:type="pct"/>
            <w:gridSpan w:val="2"/>
            <w:vMerge w:val="restart"/>
            <w:shd w:val="clear" w:color="auto" w:fill="auto"/>
            <w:vAlign w:val="center"/>
          </w:tcPr>
          <w:p w14:paraId="739E0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6F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continue"/>
            <w:vAlign w:val="center"/>
          </w:tcPr>
          <w:p w14:paraId="181A4B11">
            <w:pPr>
              <w:widowControl/>
              <w:jc w:val="left"/>
              <w:rPr>
                <w:rFonts w:hint="eastAsia" w:ascii="宋体" w:hAnsi="宋体" w:cs="宋体"/>
                <w:color w:val="000000"/>
                <w:kern w:val="0"/>
                <w:sz w:val="20"/>
                <w:szCs w:val="20"/>
              </w:rPr>
            </w:pPr>
          </w:p>
        </w:tc>
        <w:tc>
          <w:tcPr>
            <w:tcW w:w="241" w:type="pct"/>
            <w:vMerge w:val="continue"/>
            <w:vAlign w:val="center"/>
          </w:tcPr>
          <w:p w14:paraId="43BE7B48">
            <w:pPr>
              <w:widowControl/>
              <w:jc w:val="left"/>
              <w:rPr>
                <w:rFonts w:hint="eastAsia" w:ascii="宋体" w:hAnsi="宋体" w:cs="宋体"/>
                <w:color w:val="000000"/>
                <w:kern w:val="0"/>
                <w:sz w:val="20"/>
                <w:szCs w:val="20"/>
              </w:rPr>
            </w:pPr>
          </w:p>
        </w:tc>
        <w:tc>
          <w:tcPr>
            <w:tcW w:w="420" w:type="pct"/>
            <w:vMerge w:val="continue"/>
            <w:vAlign w:val="center"/>
          </w:tcPr>
          <w:p w14:paraId="7D8C4428">
            <w:pPr>
              <w:widowControl/>
              <w:jc w:val="left"/>
              <w:rPr>
                <w:rFonts w:hint="eastAsia" w:ascii="宋体" w:hAnsi="宋体" w:cs="宋体"/>
                <w:color w:val="000000"/>
                <w:kern w:val="0"/>
                <w:sz w:val="20"/>
                <w:szCs w:val="20"/>
              </w:rPr>
            </w:pPr>
          </w:p>
        </w:tc>
        <w:tc>
          <w:tcPr>
            <w:tcW w:w="995" w:type="pct"/>
            <w:gridSpan w:val="2"/>
            <w:vMerge w:val="continue"/>
            <w:vAlign w:val="center"/>
          </w:tcPr>
          <w:p w14:paraId="091FABEB">
            <w:pPr>
              <w:widowControl/>
              <w:jc w:val="left"/>
              <w:rPr>
                <w:rFonts w:hint="eastAsia" w:ascii="宋体" w:hAnsi="宋体" w:cs="宋体"/>
                <w:color w:val="000000"/>
                <w:kern w:val="0"/>
                <w:sz w:val="20"/>
                <w:szCs w:val="20"/>
              </w:rPr>
            </w:pPr>
          </w:p>
        </w:tc>
        <w:tc>
          <w:tcPr>
            <w:tcW w:w="999" w:type="pct"/>
            <w:gridSpan w:val="2"/>
            <w:vMerge w:val="continue"/>
            <w:vAlign w:val="center"/>
          </w:tcPr>
          <w:p w14:paraId="1F1313BD">
            <w:pPr>
              <w:widowControl/>
              <w:jc w:val="left"/>
              <w:rPr>
                <w:rFonts w:hint="eastAsia" w:ascii="宋体" w:hAnsi="宋体" w:cs="宋体"/>
                <w:color w:val="000000"/>
                <w:kern w:val="0"/>
                <w:sz w:val="20"/>
                <w:szCs w:val="20"/>
              </w:rPr>
            </w:pPr>
          </w:p>
        </w:tc>
        <w:tc>
          <w:tcPr>
            <w:tcW w:w="725" w:type="pct"/>
            <w:vMerge w:val="continue"/>
            <w:vAlign w:val="center"/>
          </w:tcPr>
          <w:p w14:paraId="39E90A6F">
            <w:pPr>
              <w:widowControl/>
              <w:jc w:val="left"/>
              <w:rPr>
                <w:rFonts w:hint="eastAsia" w:ascii="宋体" w:hAnsi="宋体" w:cs="宋体"/>
                <w:color w:val="000000"/>
                <w:kern w:val="0"/>
                <w:sz w:val="20"/>
                <w:szCs w:val="20"/>
              </w:rPr>
            </w:pPr>
          </w:p>
        </w:tc>
        <w:tc>
          <w:tcPr>
            <w:tcW w:w="298" w:type="pct"/>
            <w:gridSpan w:val="2"/>
            <w:vMerge w:val="continue"/>
            <w:vAlign w:val="center"/>
          </w:tcPr>
          <w:p w14:paraId="3C4216D2">
            <w:pPr>
              <w:widowControl/>
              <w:jc w:val="left"/>
              <w:rPr>
                <w:rFonts w:hint="eastAsia" w:ascii="宋体" w:hAnsi="宋体" w:cs="宋体"/>
                <w:color w:val="000000"/>
                <w:kern w:val="0"/>
                <w:sz w:val="20"/>
                <w:szCs w:val="20"/>
              </w:rPr>
            </w:pPr>
          </w:p>
        </w:tc>
        <w:tc>
          <w:tcPr>
            <w:tcW w:w="383" w:type="pct"/>
            <w:gridSpan w:val="2"/>
            <w:vMerge w:val="continue"/>
            <w:vAlign w:val="center"/>
          </w:tcPr>
          <w:p w14:paraId="4E724F9A">
            <w:pPr>
              <w:widowControl/>
              <w:jc w:val="left"/>
              <w:rPr>
                <w:rFonts w:hint="eastAsia" w:ascii="宋体" w:hAnsi="宋体" w:cs="宋体"/>
                <w:color w:val="000000"/>
                <w:kern w:val="0"/>
                <w:sz w:val="20"/>
                <w:szCs w:val="20"/>
              </w:rPr>
            </w:pPr>
          </w:p>
        </w:tc>
        <w:tc>
          <w:tcPr>
            <w:tcW w:w="697" w:type="pct"/>
            <w:gridSpan w:val="2"/>
            <w:vMerge w:val="continue"/>
            <w:vAlign w:val="center"/>
          </w:tcPr>
          <w:p w14:paraId="1264B492">
            <w:pPr>
              <w:widowControl/>
              <w:jc w:val="left"/>
              <w:rPr>
                <w:rFonts w:hint="eastAsia" w:ascii="宋体" w:hAnsi="宋体" w:cs="宋体"/>
                <w:color w:val="000000"/>
                <w:kern w:val="0"/>
                <w:sz w:val="20"/>
                <w:szCs w:val="20"/>
              </w:rPr>
            </w:pPr>
          </w:p>
        </w:tc>
      </w:tr>
      <w:tr w14:paraId="7C28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restart"/>
            <w:shd w:val="clear" w:color="auto" w:fill="auto"/>
            <w:vAlign w:val="center"/>
          </w:tcPr>
          <w:p w14:paraId="2D1F6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shd w:val="clear" w:color="auto" w:fill="auto"/>
            <w:vAlign w:val="center"/>
          </w:tcPr>
          <w:p w14:paraId="281F1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0" w:type="pct"/>
            <w:shd w:val="clear" w:color="auto" w:fill="auto"/>
            <w:vAlign w:val="center"/>
          </w:tcPr>
          <w:p w14:paraId="4CAA8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5" w:type="pct"/>
            <w:gridSpan w:val="2"/>
            <w:shd w:val="clear" w:color="auto" w:fill="auto"/>
            <w:noWrap/>
            <w:vAlign w:val="center"/>
          </w:tcPr>
          <w:p w14:paraId="45AB6A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驻村干部人数</w:t>
            </w:r>
          </w:p>
        </w:tc>
        <w:tc>
          <w:tcPr>
            <w:tcW w:w="999" w:type="pct"/>
            <w:gridSpan w:val="2"/>
            <w:shd w:val="clear" w:color="auto" w:fill="auto"/>
            <w:vAlign w:val="center"/>
          </w:tcPr>
          <w:p w14:paraId="5C1D3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725" w:type="pct"/>
            <w:shd w:val="clear" w:color="auto" w:fill="auto"/>
            <w:vAlign w:val="center"/>
          </w:tcPr>
          <w:p w14:paraId="6779B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298" w:type="pct"/>
            <w:gridSpan w:val="2"/>
            <w:shd w:val="clear" w:color="auto" w:fill="auto"/>
            <w:vAlign w:val="center"/>
          </w:tcPr>
          <w:p w14:paraId="43AB7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23C60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pct"/>
            <w:gridSpan w:val="2"/>
            <w:shd w:val="clear" w:color="auto" w:fill="auto"/>
            <w:vAlign w:val="center"/>
          </w:tcPr>
          <w:p w14:paraId="7FD3D1E5">
            <w:pPr>
              <w:widowControl/>
              <w:jc w:val="center"/>
              <w:rPr>
                <w:rFonts w:hint="eastAsia" w:ascii="宋体" w:hAnsi="宋体" w:cs="宋体"/>
                <w:color w:val="000000"/>
                <w:kern w:val="0"/>
                <w:sz w:val="20"/>
                <w:szCs w:val="20"/>
              </w:rPr>
            </w:pPr>
          </w:p>
        </w:tc>
      </w:tr>
      <w:tr w14:paraId="3457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303ECB3C">
            <w:pPr>
              <w:widowControl/>
              <w:jc w:val="left"/>
              <w:rPr>
                <w:rFonts w:hint="eastAsia" w:ascii="宋体" w:hAnsi="宋体" w:cs="宋体"/>
                <w:color w:val="000000"/>
                <w:kern w:val="0"/>
                <w:sz w:val="20"/>
                <w:szCs w:val="20"/>
              </w:rPr>
            </w:pPr>
          </w:p>
        </w:tc>
        <w:tc>
          <w:tcPr>
            <w:tcW w:w="241" w:type="pct"/>
            <w:vMerge w:val="continue"/>
            <w:vAlign w:val="center"/>
          </w:tcPr>
          <w:p w14:paraId="74078074">
            <w:pPr>
              <w:widowControl/>
              <w:jc w:val="left"/>
              <w:rPr>
                <w:rFonts w:hint="eastAsia" w:ascii="宋体" w:hAnsi="宋体" w:cs="宋体"/>
                <w:color w:val="000000"/>
                <w:kern w:val="0"/>
                <w:sz w:val="20"/>
                <w:szCs w:val="20"/>
              </w:rPr>
            </w:pPr>
          </w:p>
        </w:tc>
        <w:tc>
          <w:tcPr>
            <w:tcW w:w="420" w:type="pct"/>
            <w:shd w:val="clear" w:color="auto" w:fill="auto"/>
            <w:vAlign w:val="center"/>
          </w:tcPr>
          <w:p w14:paraId="5ED7E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5" w:type="pct"/>
            <w:gridSpan w:val="2"/>
            <w:shd w:val="clear" w:color="auto" w:fill="auto"/>
            <w:noWrap/>
            <w:vAlign w:val="center"/>
          </w:tcPr>
          <w:p w14:paraId="1B32BA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工作队为民办实事好事件数</w:t>
            </w:r>
          </w:p>
        </w:tc>
        <w:tc>
          <w:tcPr>
            <w:tcW w:w="999" w:type="pct"/>
            <w:gridSpan w:val="2"/>
            <w:shd w:val="clear" w:color="auto" w:fill="auto"/>
            <w:vAlign w:val="center"/>
          </w:tcPr>
          <w:p w14:paraId="04248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&gt;=4件</w:t>
            </w:r>
          </w:p>
        </w:tc>
        <w:tc>
          <w:tcPr>
            <w:tcW w:w="725" w:type="pct"/>
            <w:shd w:val="clear" w:color="auto" w:fill="auto"/>
            <w:vAlign w:val="center"/>
          </w:tcPr>
          <w:p w14:paraId="0895A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=5件</w:t>
            </w:r>
          </w:p>
        </w:tc>
        <w:tc>
          <w:tcPr>
            <w:tcW w:w="298" w:type="pct"/>
            <w:gridSpan w:val="2"/>
            <w:shd w:val="clear" w:color="auto" w:fill="auto"/>
            <w:vAlign w:val="center"/>
          </w:tcPr>
          <w:p w14:paraId="71276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0EE7A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697" w:type="pct"/>
            <w:gridSpan w:val="2"/>
            <w:shd w:val="clear" w:color="auto" w:fill="auto"/>
            <w:vAlign w:val="center"/>
          </w:tcPr>
          <w:p w14:paraId="6938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办好事数量增加，年初无法精确预估。</w:t>
            </w:r>
          </w:p>
        </w:tc>
      </w:tr>
      <w:tr w14:paraId="60B7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23C60148">
            <w:pPr>
              <w:widowControl/>
              <w:jc w:val="left"/>
              <w:rPr>
                <w:rFonts w:hint="eastAsia" w:ascii="宋体" w:hAnsi="宋体" w:cs="宋体"/>
                <w:color w:val="000000"/>
                <w:kern w:val="0"/>
                <w:sz w:val="20"/>
                <w:szCs w:val="20"/>
              </w:rPr>
            </w:pPr>
          </w:p>
        </w:tc>
        <w:tc>
          <w:tcPr>
            <w:tcW w:w="241" w:type="pct"/>
            <w:vMerge w:val="continue"/>
            <w:vAlign w:val="center"/>
          </w:tcPr>
          <w:p w14:paraId="7E2BFEAB">
            <w:pPr>
              <w:widowControl/>
              <w:jc w:val="left"/>
              <w:rPr>
                <w:rFonts w:hint="eastAsia" w:ascii="宋体" w:hAnsi="宋体" w:cs="宋体"/>
                <w:color w:val="000000"/>
                <w:kern w:val="0"/>
                <w:sz w:val="20"/>
                <w:szCs w:val="20"/>
              </w:rPr>
            </w:pPr>
          </w:p>
        </w:tc>
        <w:tc>
          <w:tcPr>
            <w:tcW w:w="420" w:type="pct"/>
            <w:shd w:val="clear" w:color="auto" w:fill="auto"/>
            <w:vAlign w:val="center"/>
          </w:tcPr>
          <w:p w14:paraId="78D5E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5" w:type="pct"/>
            <w:gridSpan w:val="2"/>
            <w:shd w:val="clear" w:color="auto" w:fill="auto"/>
            <w:noWrap/>
            <w:vAlign w:val="center"/>
          </w:tcPr>
          <w:p w14:paraId="41D7C5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为民办实事好事工作开支保障率</w:t>
            </w:r>
          </w:p>
        </w:tc>
        <w:tc>
          <w:tcPr>
            <w:tcW w:w="999" w:type="pct"/>
            <w:gridSpan w:val="2"/>
            <w:shd w:val="clear" w:color="auto" w:fill="auto"/>
            <w:vAlign w:val="center"/>
          </w:tcPr>
          <w:p w14:paraId="0DC2A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14:paraId="7ED6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8" w:type="pct"/>
            <w:gridSpan w:val="2"/>
            <w:shd w:val="clear" w:color="auto" w:fill="auto"/>
            <w:vAlign w:val="center"/>
          </w:tcPr>
          <w:p w14:paraId="1656C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shd w:val="clear" w:color="auto" w:fill="auto"/>
            <w:vAlign w:val="center"/>
          </w:tcPr>
          <w:p w14:paraId="19D33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7" w:type="pct"/>
            <w:gridSpan w:val="2"/>
            <w:shd w:val="clear" w:color="auto" w:fill="auto"/>
            <w:vAlign w:val="center"/>
          </w:tcPr>
          <w:p w14:paraId="567EFCDA">
            <w:pPr>
              <w:widowControl/>
              <w:jc w:val="center"/>
              <w:rPr>
                <w:rFonts w:hint="eastAsia" w:ascii="宋体" w:hAnsi="宋体" w:cs="宋体"/>
                <w:color w:val="000000"/>
                <w:kern w:val="0"/>
                <w:sz w:val="20"/>
                <w:szCs w:val="20"/>
              </w:rPr>
            </w:pPr>
          </w:p>
        </w:tc>
      </w:tr>
      <w:tr w14:paraId="5C17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D3A33BA">
            <w:pPr>
              <w:widowControl/>
              <w:jc w:val="left"/>
              <w:rPr>
                <w:rFonts w:hint="eastAsia" w:ascii="宋体" w:hAnsi="宋体" w:cs="宋体"/>
                <w:color w:val="000000"/>
                <w:kern w:val="0"/>
                <w:sz w:val="20"/>
                <w:szCs w:val="20"/>
              </w:rPr>
            </w:pPr>
          </w:p>
        </w:tc>
        <w:tc>
          <w:tcPr>
            <w:tcW w:w="241" w:type="pct"/>
            <w:vMerge w:val="continue"/>
            <w:vAlign w:val="center"/>
          </w:tcPr>
          <w:p w14:paraId="6CDF6353">
            <w:pPr>
              <w:widowControl/>
              <w:jc w:val="left"/>
              <w:rPr>
                <w:rFonts w:hint="eastAsia" w:ascii="宋体" w:hAnsi="宋体" w:cs="宋体"/>
                <w:color w:val="000000"/>
                <w:kern w:val="0"/>
                <w:sz w:val="20"/>
                <w:szCs w:val="20"/>
              </w:rPr>
            </w:pPr>
          </w:p>
        </w:tc>
        <w:tc>
          <w:tcPr>
            <w:tcW w:w="420" w:type="pct"/>
            <w:shd w:val="clear" w:color="auto" w:fill="auto"/>
            <w:vAlign w:val="center"/>
          </w:tcPr>
          <w:p w14:paraId="50F25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5" w:type="pct"/>
            <w:gridSpan w:val="2"/>
            <w:shd w:val="clear" w:color="auto" w:fill="auto"/>
            <w:noWrap/>
            <w:vAlign w:val="center"/>
          </w:tcPr>
          <w:p w14:paraId="7B324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为民办实事好事完成率</w:t>
            </w:r>
          </w:p>
        </w:tc>
        <w:tc>
          <w:tcPr>
            <w:tcW w:w="999" w:type="pct"/>
            <w:gridSpan w:val="2"/>
            <w:shd w:val="clear" w:color="auto" w:fill="auto"/>
            <w:vAlign w:val="center"/>
          </w:tcPr>
          <w:p w14:paraId="5299C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14:paraId="717CE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8" w:type="pct"/>
            <w:gridSpan w:val="2"/>
            <w:shd w:val="clear" w:color="auto" w:fill="auto"/>
            <w:vAlign w:val="center"/>
          </w:tcPr>
          <w:p w14:paraId="5FC8A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shd w:val="clear" w:color="auto" w:fill="auto"/>
            <w:vAlign w:val="center"/>
          </w:tcPr>
          <w:p w14:paraId="2F4F8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7" w:type="pct"/>
            <w:gridSpan w:val="2"/>
            <w:shd w:val="clear" w:color="auto" w:fill="auto"/>
            <w:vAlign w:val="center"/>
          </w:tcPr>
          <w:p w14:paraId="18AA65FE">
            <w:pPr>
              <w:widowControl/>
              <w:jc w:val="center"/>
              <w:rPr>
                <w:rFonts w:hint="eastAsia" w:ascii="宋体" w:hAnsi="宋体" w:cs="宋体"/>
                <w:color w:val="000000"/>
                <w:kern w:val="0"/>
                <w:sz w:val="20"/>
                <w:szCs w:val="20"/>
              </w:rPr>
            </w:pPr>
          </w:p>
        </w:tc>
      </w:tr>
      <w:tr w14:paraId="599E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09C1889E">
            <w:pPr>
              <w:widowControl/>
              <w:jc w:val="left"/>
              <w:rPr>
                <w:rFonts w:hint="eastAsia" w:ascii="宋体" w:hAnsi="宋体" w:cs="宋体"/>
                <w:color w:val="000000"/>
                <w:kern w:val="0"/>
                <w:sz w:val="20"/>
                <w:szCs w:val="20"/>
              </w:rPr>
            </w:pPr>
          </w:p>
        </w:tc>
        <w:tc>
          <w:tcPr>
            <w:tcW w:w="241" w:type="pct"/>
            <w:vMerge w:val="continue"/>
            <w:vAlign w:val="center"/>
          </w:tcPr>
          <w:p w14:paraId="60A2C6C6">
            <w:pPr>
              <w:widowControl/>
              <w:jc w:val="left"/>
              <w:rPr>
                <w:rFonts w:hint="eastAsia" w:ascii="宋体" w:hAnsi="宋体" w:cs="宋体"/>
                <w:color w:val="000000"/>
                <w:kern w:val="0"/>
                <w:sz w:val="20"/>
                <w:szCs w:val="20"/>
              </w:rPr>
            </w:pPr>
          </w:p>
        </w:tc>
        <w:tc>
          <w:tcPr>
            <w:tcW w:w="420" w:type="pct"/>
            <w:shd w:val="clear" w:color="auto" w:fill="auto"/>
            <w:vAlign w:val="center"/>
          </w:tcPr>
          <w:p w14:paraId="5FB08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5" w:type="pct"/>
            <w:gridSpan w:val="2"/>
            <w:shd w:val="clear" w:color="auto" w:fill="auto"/>
            <w:noWrap/>
            <w:vAlign w:val="center"/>
          </w:tcPr>
          <w:p w14:paraId="135E0F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各项工作完成及时率</w:t>
            </w:r>
          </w:p>
        </w:tc>
        <w:tc>
          <w:tcPr>
            <w:tcW w:w="999" w:type="pct"/>
            <w:gridSpan w:val="2"/>
            <w:shd w:val="clear" w:color="auto" w:fill="auto"/>
            <w:vAlign w:val="center"/>
          </w:tcPr>
          <w:p w14:paraId="1A916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14:paraId="5674D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8" w:type="pct"/>
            <w:gridSpan w:val="2"/>
            <w:shd w:val="clear" w:color="auto" w:fill="auto"/>
            <w:vAlign w:val="center"/>
          </w:tcPr>
          <w:p w14:paraId="5CA51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4509A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pct"/>
            <w:gridSpan w:val="2"/>
            <w:shd w:val="clear" w:color="auto" w:fill="auto"/>
            <w:vAlign w:val="center"/>
          </w:tcPr>
          <w:p w14:paraId="1D90DDF0">
            <w:pPr>
              <w:widowControl/>
              <w:jc w:val="center"/>
              <w:rPr>
                <w:rFonts w:hint="eastAsia" w:ascii="宋体" w:hAnsi="宋体" w:cs="宋体"/>
                <w:color w:val="000000"/>
                <w:kern w:val="0"/>
                <w:sz w:val="20"/>
                <w:szCs w:val="20"/>
              </w:rPr>
            </w:pPr>
          </w:p>
        </w:tc>
      </w:tr>
      <w:tr w14:paraId="6FE2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42750CBD">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14:paraId="1F769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0" w:type="pct"/>
            <w:shd w:val="clear" w:color="auto" w:fill="auto"/>
            <w:vAlign w:val="center"/>
          </w:tcPr>
          <w:p w14:paraId="22E09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5" w:type="pct"/>
            <w:gridSpan w:val="2"/>
            <w:shd w:val="clear" w:color="auto" w:fill="auto"/>
            <w:noWrap/>
            <w:vAlign w:val="center"/>
          </w:tcPr>
          <w:p w14:paraId="1D07A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9" w:type="pct"/>
            <w:gridSpan w:val="2"/>
            <w:shd w:val="clear" w:color="auto" w:fill="auto"/>
            <w:vAlign w:val="center"/>
          </w:tcPr>
          <w:p w14:paraId="4993E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5" w:type="pct"/>
            <w:shd w:val="clear" w:color="auto" w:fill="auto"/>
            <w:vAlign w:val="center"/>
          </w:tcPr>
          <w:p w14:paraId="4935F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8" w:type="pct"/>
            <w:gridSpan w:val="2"/>
            <w:shd w:val="clear" w:color="auto" w:fill="auto"/>
            <w:vAlign w:val="center"/>
          </w:tcPr>
          <w:p w14:paraId="36DD5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64AAF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pct"/>
            <w:gridSpan w:val="2"/>
            <w:shd w:val="clear" w:color="auto" w:fill="auto"/>
            <w:vAlign w:val="center"/>
          </w:tcPr>
          <w:p w14:paraId="0CFD639B">
            <w:pPr>
              <w:widowControl/>
              <w:jc w:val="center"/>
              <w:rPr>
                <w:rFonts w:hint="eastAsia" w:ascii="宋体" w:hAnsi="宋体" w:cs="宋体"/>
                <w:color w:val="000000"/>
                <w:kern w:val="0"/>
                <w:sz w:val="20"/>
                <w:szCs w:val="20"/>
              </w:rPr>
            </w:pPr>
          </w:p>
        </w:tc>
      </w:tr>
      <w:tr w14:paraId="30CE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E9802E1">
            <w:pPr>
              <w:widowControl/>
              <w:jc w:val="left"/>
              <w:rPr>
                <w:rFonts w:hint="eastAsia" w:ascii="宋体" w:hAnsi="宋体" w:cs="宋体"/>
                <w:color w:val="000000"/>
                <w:kern w:val="0"/>
                <w:sz w:val="20"/>
                <w:szCs w:val="20"/>
              </w:rPr>
            </w:pPr>
          </w:p>
        </w:tc>
        <w:tc>
          <w:tcPr>
            <w:tcW w:w="241" w:type="pct"/>
            <w:vMerge w:val="continue"/>
            <w:vAlign w:val="center"/>
          </w:tcPr>
          <w:p w14:paraId="58B35E29">
            <w:pPr>
              <w:widowControl/>
              <w:jc w:val="left"/>
              <w:rPr>
                <w:rFonts w:hint="eastAsia" w:ascii="宋体" w:hAnsi="宋体" w:cs="宋体"/>
                <w:color w:val="000000"/>
                <w:kern w:val="0"/>
                <w:sz w:val="20"/>
                <w:szCs w:val="20"/>
              </w:rPr>
            </w:pPr>
          </w:p>
        </w:tc>
        <w:tc>
          <w:tcPr>
            <w:tcW w:w="420" w:type="pct"/>
            <w:shd w:val="clear" w:color="auto" w:fill="auto"/>
            <w:vAlign w:val="center"/>
          </w:tcPr>
          <w:p w14:paraId="74301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5" w:type="pct"/>
            <w:gridSpan w:val="2"/>
            <w:shd w:val="clear" w:color="auto" w:fill="auto"/>
            <w:noWrap/>
            <w:vAlign w:val="center"/>
          </w:tcPr>
          <w:p w14:paraId="750C9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9" w:type="pct"/>
            <w:gridSpan w:val="2"/>
            <w:shd w:val="clear" w:color="auto" w:fill="auto"/>
            <w:vAlign w:val="center"/>
          </w:tcPr>
          <w:p w14:paraId="7FE97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5" w:type="pct"/>
            <w:shd w:val="clear" w:color="auto" w:fill="auto"/>
            <w:vAlign w:val="center"/>
          </w:tcPr>
          <w:p w14:paraId="39C04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8" w:type="pct"/>
            <w:gridSpan w:val="2"/>
            <w:shd w:val="clear" w:color="auto" w:fill="auto"/>
            <w:vAlign w:val="center"/>
          </w:tcPr>
          <w:p w14:paraId="1FB2F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3003F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pct"/>
            <w:gridSpan w:val="2"/>
            <w:shd w:val="clear" w:color="auto" w:fill="auto"/>
            <w:vAlign w:val="center"/>
          </w:tcPr>
          <w:p w14:paraId="2410BA77">
            <w:pPr>
              <w:widowControl/>
              <w:jc w:val="center"/>
              <w:rPr>
                <w:rFonts w:hint="eastAsia" w:ascii="宋体" w:hAnsi="宋体" w:cs="宋体"/>
                <w:color w:val="000000"/>
                <w:kern w:val="0"/>
                <w:sz w:val="20"/>
                <w:szCs w:val="20"/>
              </w:rPr>
            </w:pPr>
          </w:p>
        </w:tc>
      </w:tr>
      <w:tr w14:paraId="6A53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DFEA660">
            <w:pPr>
              <w:widowControl/>
              <w:jc w:val="left"/>
              <w:rPr>
                <w:rFonts w:hint="eastAsia" w:ascii="宋体" w:hAnsi="宋体" w:cs="宋体"/>
                <w:color w:val="000000"/>
                <w:kern w:val="0"/>
                <w:sz w:val="20"/>
                <w:szCs w:val="20"/>
              </w:rPr>
            </w:pPr>
          </w:p>
        </w:tc>
        <w:tc>
          <w:tcPr>
            <w:tcW w:w="241" w:type="pct"/>
            <w:vMerge w:val="continue"/>
            <w:vAlign w:val="center"/>
          </w:tcPr>
          <w:p w14:paraId="5D419308">
            <w:pPr>
              <w:widowControl/>
              <w:jc w:val="left"/>
              <w:rPr>
                <w:rFonts w:hint="eastAsia" w:ascii="宋体" w:hAnsi="宋体" w:cs="宋体"/>
                <w:color w:val="000000"/>
                <w:kern w:val="0"/>
                <w:sz w:val="20"/>
                <w:szCs w:val="20"/>
              </w:rPr>
            </w:pPr>
          </w:p>
        </w:tc>
        <w:tc>
          <w:tcPr>
            <w:tcW w:w="420" w:type="pct"/>
            <w:shd w:val="clear" w:color="auto" w:fill="auto"/>
            <w:vAlign w:val="center"/>
          </w:tcPr>
          <w:p w14:paraId="37B27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5" w:type="pct"/>
            <w:gridSpan w:val="2"/>
            <w:shd w:val="clear" w:color="auto" w:fill="auto"/>
            <w:noWrap/>
            <w:vAlign w:val="center"/>
          </w:tcPr>
          <w:p w14:paraId="53CA3B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999" w:type="pct"/>
            <w:gridSpan w:val="2"/>
            <w:shd w:val="clear" w:color="auto" w:fill="auto"/>
            <w:vAlign w:val="center"/>
          </w:tcPr>
          <w:p w14:paraId="104C8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&gt;=30户</w:t>
            </w:r>
          </w:p>
        </w:tc>
        <w:tc>
          <w:tcPr>
            <w:tcW w:w="725" w:type="pct"/>
            <w:shd w:val="clear" w:color="auto" w:fill="auto"/>
            <w:vAlign w:val="center"/>
          </w:tcPr>
          <w:p w14:paraId="625C3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=35户</w:t>
            </w:r>
          </w:p>
        </w:tc>
        <w:tc>
          <w:tcPr>
            <w:tcW w:w="298" w:type="pct"/>
            <w:gridSpan w:val="2"/>
            <w:shd w:val="clear" w:color="auto" w:fill="auto"/>
            <w:vAlign w:val="center"/>
          </w:tcPr>
          <w:p w14:paraId="05E27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shd w:val="clear" w:color="auto" w:fill="auto"/>
            <w:vAlign w:val="center"/>
          </w:tcPr>
          <w:p w14:paraId="5BCD1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97" w:type="pct"/>
            <w:gridSpan w:val="2"/>
            <w:shd w:val="clear" w:color="auto" w:fill="auto"/>
            <w:vAlign w:val="center"/>
          </w:tcPr>
          <w:p w14:paraId="66948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流动人口较大，迁移人口较多。</w:t>
            </w:r>
          </w:p>
        </w:tc>
      </w:tr>
      <w:tr w14:paraId="5297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2D506AF0">
            <w:pPr>
              <w:widowControl/>
              <w:jc w:val="left"/>
              <w:rPr>
                <w:rFonts w:hint="eastAsia" w:ascii="宋体" w:hAnsi="宋体" w:cs="宋体"/>
                <w:color w:val="000000"/>
                <w:kern w:val="0"/>
                <w:sz w:val="20"/>
                <w:szCs w:val="20"/>
              </w:rPr>
            </w:pPr>
          </w:p>
        </w:tc>
        <w:tc>
          <w:tcPr>
            <w:tcW w:w="241" w:type="pct"/>
            <w:shd w:val="clear" w:color="auto" w:fill="auto"/>
            <w:vAlign w:val="center"/>
          </w:tcPr>
          <w:p w14:paraId="01234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0" w:type="pct"/>
            <w:shd w:val="clear" w:color="auto" w:fill="auto"/>
            <w:vAlign w:val="center"/>
          </w:tcPr>
          <w:p w14:paraId="41D65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5" w:type="pct"/>
            <w:gridSpan w:val="2"/>
            <w:shd w:val="clear" w:color="auto" w:fill="auto"/>
            <w:noWrap/>
            <w:vAlign w:val="center"/>
          </w:tcPr>
          <w:p w14:paraId="568771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9" w:type="pct"/>
            <w:gridSpan w:val="2"/>
            <w:shd w:val="clear" w:color="auto" w:fill="auto"/>
            <w:vAlign w:val="center"/>
          </w:tcPr>
          <w:p w14:paraId="25222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5" w:type="pct"/>
            <w:shd w:val="clear" w:color="auto" w:fill="auto"/>
            <w:vAlign w:val="center"/>
          </w:tcPr>
          <w:p w14:paraId="2A04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8" w:type="pct"/>
            <w:gridSpan w:val="2"/>
            <w:shd w:val="clear" w:color="auto" w:fill="auto"/>
            <w:vAlign w:val="center"/>
          </w:tcPr>
          <w:p w14:paraId="79245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03173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pct"/>
            <w:gridSpan w:val="2"/>
            <w:shd w:val="clear" w:color="auto" w:fill="auto"/>
            <w:vAlign w:val="center"/>
          </w:tcPr>
          <w:p w14:paraId="2B9D74D2">
            <w:pPr>
              <w:widowControl/>
              <w:jc w:val="center"/>
              <w:rPr>
                <w:rFonts w:hint="eastAsia" w:ascii="宋体" w:hAnsi="宋体" w:cs="宋体"/>
                <w:color w:val="000000"/>
                <w:kern w:val="0"/>
                <w:sz w:val="20"/>
                <w:szCs w:val="20"/>
              </w:rPr>
            </w:pPr>
          </w:p>
        </w:tc>
      </w:tr>
      <w:tr w14:paraId="7F9F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21" w:type="pct"/>
            <w:gridSpan w:val="8"/>
            <w:shd w:val="clear" w:color="auto" w:fill="auto"/>
            <w:vAlign w:val="center"/>
          </w:tcPr>
          <w:p w14:paraId="13DE8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8" w:type="pct"/>
            <w:gridSpan w:val="2"/>
            <w:shd w:val="clear" w:color="auto" w:fill="auto"/>
            <w:vAlign w:val="center"/>
          </w:tcPr>
          <w:p w14:paraId="5A706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shd w:val="clear" w:color="auto" w:fill="auto"/>
            <w:vAlign w:val="center"/>
          </w:tcPr>
          <w:p w14:paraId="24CBF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94.3分</w:t>
            </w:r>
          </w:p>
        </w:tc>
        <w:tc>
          <w:tcPr>
            <w:tcW w:w="697" w:type="pct"/>
            <w:gridSpan w:val="2"/>
            <w:shd w:val="clear" w:color="auto" w:fill="auto"/>
            <w:vAlign w:val="center"/>
          </w:tcPr>
          <w:p w14:paraId="406F0F03">
            <w:pPr>
              <w:widowControl/>
              <w:jc w:val="center"/>
              <w:rPr>
                <w:rFonts w:hint="eastAsia" w:ascii="宋体" w:hAnsi="宋体" w:cs="宋体"/>
                <w:color w:val="000000"/>
                <w:kern w:val="0"/>
                <w:sz w:val="20"/>
                <w:szCs w:val="20"/>
              </w:rPr>
            </w:pPr>
          </w:p>
        </w:tc>
      </w:tr>
    </w:tbl>
    <w:p w14:paraId="3061AA50">
      <w:pPr>
        <w:ind w:firstLine="643" w:firstLineChars="200"/>
        <w:jc w:val="left"/>
        <w:rPr>
          <w:rFonts w:hint="eastAsia" w:ascii="仿宋_GB2312" w:hAnsi="仿宋_GB2312" w:eastAsia="仿宋_GB2312" w:cs="仿宋_GB2312"/>
          <w:b/>
          <w:bCs/>
          <w:kern w:val="0"/>
          <w:sz w:val="32"/>
          <w:szCs w:val="32"/>
          <w:lang w:eastAsia="zh-Hans"/>
        </w:rPr>
      </w:pPr>
    </w:p>
    <w:p w14:paraId="2DCF8D3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E693BC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6269E4C">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293D0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BB1D6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08761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4B28EB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119A1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F4FCD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3818B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BCA09A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E014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F7575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82B72B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5DBF3A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21F111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DFFE9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835DEB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5ADC46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653BC64">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56F2B89">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4E5ED2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3C6D3F9">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DBEA7C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637A9E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07ED61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CE921C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6C0AF79">
      <w:pPr>
        <w:ind w:firstLine="640" w:firstLineChars="200"/>
        <w:rPr>
          <w:rFonts w:ascii="仿宋_GB2312" w:eastAsia="仿宋_GB2312"/>
          <w:sz w:val="32"/>
          <w:szCs w:val="32"/>
        </w:rPr>
      </w:pPr>
    </w:p>
    <w:p w14:paraId="49187DF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5064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1DE6F8">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31DE6F8">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53E19"/>
    <w:rsid w:val="000C27B1"/>
    <w:rsid w:val="000D5538"/>
    <w:rsid w:val="00213C59"/>
    <w:rsid w:val="002A5BA7"/>
    <w:rsid w:val="003210CE"/>
    <w:rsid w:val="00472CCC"/>
    <w:rsid w:val="00525257"/>
    <w:rsid w:val="00623A8A"/>
    <w:rsid w:val="006D2555"/>
    <w:rsid w:val="00714C9E"/>
    <w:rsid w:val="00761EEB"/>
    <w:rsid w:val="007F08BA"/>
    <w:rsid w:val="009A6EEF"/>
    <w:rsid w:val="009E4752"/>
    <w:rsid w:val="00B70D59"/>
    <w:rsid w:val="00C46878"/>
    <w:rsid w:val="00DF5528"/>
    <w:rsid w:val="00E3045C"/>
    <w:rsid w:val="00E53E19"/>
    <w:rsid w:val="00EA7CE0"/>
    <w:rsid w:val="00F519C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153E"/>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9C317F"/>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204181"/>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7675</Words>
  <Characters>8684</Characters>
  <Lines>71</Lines>
  <Paragraphs>20</Paragraphs>
  <TotalTime>8</TotalTime>
  <ScaleCrop>false</ScaleCrop>
  <LinksUpToDate>false</LinksUpToDate>
  <CharactersWithSpaces>8728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2024-12-03T08:16:42Z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